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7E" w:rsidRDefault="006C63BE" w:rsidP="00BE487E">
      <w:r w:rsidRPr="006C63BE">
        <w:rPr>
          <w:noProof/>
          <w:lang w:eastAsia="en-AU"/>
        </w:rPr>
        <w:drawing>
          <wp:anchor distT="0" distB="0" distL="114300" distR="114300" simplePos="0" relativeHeight="251659264" behindDoc="0" locked="0" layoutInCell="1" allowOverlap="1" wp14:anchorId="143FFA2D" wp14:editId="756D4133">
            <wp:simplePos x="0" y="0"/>
            <wp:positionH relativeFrom="page">
              <wp:posOffset>684606</wp:posOffset>
            </wp:positionH>
            <wp:positionV relativeFrom="page">
              <wp:posOffset>541020</wp:posOffset>
            </wp:positionV>
            <wp:extent cx="1642110" cy="304800"/>
            <wp:effectExtent l="0" t="0" r="0" b="0"/>
            <wp:wrapNone/>
            <wp:docPr id="3" name="HDR_LOGO" descr="Deloitte_blue_RGB_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loitte_blue_RGB_1.tif"/>
                    <pic:cNvPicPr/>
                  </pic:nvPicPr>
                  <pic:blipFill>
                    <a:blip r:embed="rId9" cstate="print"/>
                    <a:stretch>
                      <a:fillRect/>
                    </a:stretch>
                  </pic:blipFill>
                  <pic:spPr>
                    <a:xfrm>
                      <a:off x="0" y="0"/>
                      <a:ext cx="1642110" cy="304800"/>
                    </a:xfrm>
                    <a:prstGeom prst="rect">
                      <a:avLst/>
                    </a:prstGeom>
                  </pic:spPr>
                </pic:pic>
              </a:graphicData>
            </a:graphic>
          </wp:anchor>
        </w:drawing>
      </w:r>
    </w:p>
    <w:p w:rsidR="00BE487E" w:rsidRDefault="00BE487E" w:rsidP="00BE487E"/>
    <w:p w:rsidR="00B43AC2" w:rsidRPr="00A70EA7" w:rsidRDefault="00B43AC2" w:rsidP="00BE487E">
      <w:pPr>
        <w:pStyle w:val="Documenttitle"/>
        <w:spacing w:line="240" w:lineRule="auto"/>
        <w:rPr>
          <w:sz w:val="32"/>
          <w:szCs w:val="32"/>
        </w:rPr>
      </w:pPr>
      <w:r>
        <w:t xml:space="preserve">Media </w:t>
      </w:r>
      <w:r w:rsidRPr="005950CE">
        <w:t>Release</w:t>
      </w:r>
      <w:r>
        <w:br/>
      </w:r>
      <w:r w:rsidR="00624ED1">
        <w:rPr>
          <w:sz w:val="32"/>
          <w:szCs w:val="32"/>
        </w:rPr>
        <w:t xml:space="preserve">For </w:t>
      </w:r>
      <w:r w:rsidR="00D124DE">
        <w:rPr>
          <w:sz w:val="32"/>
          <w:szCs w:val="32"/>
        </w:rPr>
        <w:t>i</w:t>
      </w:r>
      <w:r w:rsidR="00624ED1">
        <w:rPr>
          <w:sz w:val="32"/>
          <w:szCs w:val="32"/>
        </w:rPr>
        <w:t xml:space="preserve">mmediate </w:t>
      </w:r>
      <w:r w:rsidR="00D124DE">
        <w:rPr>
          <w:sz w:val="32"/>
          <w:szCs w:val="32"/>
        </w:rPr>
        <w:t>r</w:t>
      </w:r>
      <w:r w:rsidR="00624ED1">
        <w:rPr>
          <w:sz w:val="32"/>
          <w:szCs w:val="32"/>
        </w:rPr>
        <w:t>elease</w:t>
      </w:r>
    </w:p>
    <w:p w:rsidR="00B43AC2" w:rsidRPr="004E3862" w:rsidRDefault="00CB7AF6" w:rsidP="004E3862">
      <w:pPr>
        <w:pStyle w:val="AHeading"/>
        <w:rPr>
          <w:bCs/>
        </w:rPr>
      </w:pPr>
      <w:r>
        <w:rPr>
          <w:bCs/>
          <w:szCs w:val="20"/>
        </w:rPr>
        <w:t>T</w:t>
      </w:r>
      <w:r w:rsidR="00397403" w:rsidRPr="00397403">
        <w:rPr>
          <w:bCs/>
          <w:szCs w:val="20"/>
        </w:rPr>
        <w:t xml:space="preserve">he dynamics of </w:t>
      </w:r>
      <w:r>
        <w:rPr>
          <w:bCs/>
          <w:szCs w:val="20"/>
        </w:rPr>
        <w:t>a</w:t>
      </w:r>
      <w:r w:rsidR="00287F2A">
        <w:rPr>
          <w:bCs/>
          <w:szCs w:val="20"/>
        </w:rPr>
        <w:t xml:space="preserve"> </w:t>
      </w:r>
      <w:r w:rsidR="00397403" w:rsidRPr="00397403">
        <w:rPr>
          <w:bCs/>
          <w:szCs w:val="20"/>
        </w:rPr>
        <w:t>$</w:t>
      </w:r>
      <w:r w:rsidR="00E25B8A">
        <w:rPr>
          <w:bCs/>
          <w:szCs w:val="20"/>
        </w:rPr>
        <w:t>9</w:t>
      </w:r>
      <w:r w:rsidR="00F273F9">
        <w:rPr>
          <w:bCs/>
          <w:szCs w:val="20"/>
        </w:rPr>
        <w:t>.</w:t>
      </w:r>
      <w:r w:rsidR="00E25B8A">
        <w:rPr>
          <w:bCs/>
          <w:szCs w:val="20"/>
        </w:rPr>
        <w:t>5</w:t>
      </w:r>
      <w:r w:rsidR="00397403" w:rsidRPr="00397403">
        <w:rPr>
          <w:bCs/>
          <w:szCs w:val="20"/>
        </w:rPr>
        <w:t xml:space="preserve"> trillion </w:t>
      </w:r>
      <w:r w:rsidR="00E25B8A">
        <w:rPr>
          <w:bCs/>
          <w:szCs w:val="20"/>
        </w:rPr>
        <w:t xml:space="preserve">Australian </w:t>
      </w:r>
      <w:r w:rsidR="00397403" w:rsidRPr="00397403">
        <w:rPr>
          <w:bCs/>
          <w:szCs w:val="20"/>
        </w:rPr>
        <w:t>super system</w:t>
      </w:r>
      <w:r>
        <w:t xml:space="preserve">: </w:t>
      </w:r>
      <w:r>
        <w:rPr>
          <w:bCs/>
          <w:szCs w:val="20"/>
        </w:rPr>
        <w:t>Deloitte projects the next 20 years</w:t>
      </w:r>
    </w:p>
    <w:p w:rsidR="00B43AC2" w:rsidRDefault="00B43AC2" w:rsidP="00B43AC2">
      <w:pPr>
        <w:pStyle w:val="Body"/>
      </w:pPr>
    </w:p>
    <w:p w:rsidR="001C68C5" w:rsidRPr="00BE487E" w:rsidRDefault="00E25B8A" w:rsidP="00E25B8A">
      <w:pPr>
        <w:pStyle w:val="Body"/>
        <w:rPr>
          <w:sz w:val="20"/>
        </w:rPr>
      </w:pPr>
      <w:r w:rsidRPr="00BE487E">
        <w:rPr>
          <w:b/>
          <w:bCs/>
          <w:sz w:val="20"/>
        </w:rPr>
        <w:t>17 November 2015</w:t>
      </w:r>
      <w:r w:rsidR="00397403" w:rsidRPr="00BE487E">
        <w:rPr>
          <w:b/>
          <w:bCs/>
          <w:sz w:val="20"/>
        </w:rPr>
        <w:t>:</w:t>
      </w:r>
      <w:r w:rsidR="00397403" w:rsidRPr="00BE487E">
        <w:rPr>
          <w:sz w:val="20"/>
        </w:rPr>
        <w:t xml:space="preserve">  Using a comprehensive demographic and financial analytic tool</w:t>
      </w:r>
      <w:r w:rsidR="00124A6C" w:rsidRPr="00BE487E">
        <w:rPr>
          <w:sz w:val="20"/>
        </w:rPr>
        <w:t>,</w:t>
      </w:r>
      <w:r w:rsidR="00397403" w:rsidRPr="00BE487E">
        <w:rPr>
          <w:sz w:val="20"/>
        </w:rPr>
        <w:t xml:space="preserve"> </w:t>
      </w:r>
      <w:r w:rsidRPr="00BE487E">
        <w:rPr>
          <w:sz w:val="20"/>
        </w:rPr>
        <w:t xml:space="preserve">Deloitte Actuaries &amp; Consultants modelled </w:t>
      </w:r>
      <w:r w:rsidR="00397403" w:rsidRPr="00BE487E">
        <w:rPr>
          <w:sz w:val="20"/>
        </w:rPr>
        <w:t>the future progress of the Australian superannuation industry</w:t>
      </w:r>
      <w:r w:rsidR="000E4E93" w:rsidRPr="00BE487E">
        <w:rPr>
          <w:sz w:val="20"/>
        </w:rPr>
        <w:t xml:space="preserve"> over the next 20 years</w:t>
      </w:r>
      <w:r w:rsidRPr="00BE487E">
        <w:rPr>
          <w:sz w:val="20"/>
        </w:rPr>
        <w:t xml:space="preserve">. Projecting </w:t>
      </w:r>
      <w:r w:rsidR="00CB7AF6" w:rsidRPr="00BE487E">
        <w:rPr>
          <w:sz w:val="20"/>
        </w:rPr>
        <w:t xml:space="preserve">a $9.5 trillion system, the report </w:t>
      </w:r>
      <w:r w:rsidR="004B024A">
        <w:rPr>
          <w:sz w:val="20"/>
        </w:rPr>
        <w:t xml:space="preserve">highlights </w:t>
      </w:r>
      <w:r w:rsidR="00CB7AF6" w:rsidRPr="00BE487E">
        <w:rPr>
          <w:sz w:val="20"/>
        </w:rPr>
        <w:t xml:space="preserve">its </w:t>
      </w:r>
      <w:r w:rsidRPr="00BE487E">
        <w:rPr>
          <w:sz w:val="20"/>
        </w:rPr>
        <w:t>components</w:t>
      </w:r>
      <w:r w:rsidR="00CB7AF6" w:rsidRPr="00BE487E">
        <w:rPr>
          <w:sz w:val="20"/>
        </w:rPr>
        <w:t xml:space="preserve">, </w:t>
      </w:r>
      <w:r w:rsidRPr="00BE487E">
        <w:rPr>
          <w:sz w:val="20"/>
        </w:rPr>
        <w:t>project</w:t>
      </w:r>
      <w:r w:rsidR="00124A6C" w:rsidRPr="00BE487E">
        <w:rPr>
          <w:sz w:val="20"/>
        </w:rPr>
        <w:t>s</w:t>
      </w:r>
      <w:r w:rsidRPr="00BE487E">
        <w:rPr>
          <w:sz w:val="20"/>
        </w:rPr>
        <w:t xml:space="preserve"> their growth, and comment</w:t>
      </w:r>
      <w:r w:rsidR="00CB7AF6" w:rsidRPr="00BE487E">
        <w:rPr>
          <w:sz w:val="20"/>
        </w:rPr>
        <w:t>s</w:t>
      </w:r>
      <w:r w:rsidRPr="00BE487E">
        <w:rPr>
          <w:sz w:val="20"/>
        </w:rPr>
        <w:t xml:space="preserve"> on the market dynamics,</w:t>
      </w:r>
      <w:r w:rsidR="00CB7AF6" w:rsidRPr="00BE487E">
        <w:rPr>
          <w:sz w:val="20"/>
        </w:rPr>
        <w:t xml:space="preserve"> </w:t>
      </w:r>
      <w:r w:rsidRPr="00BE487E">
        <w:rPr>
          <w:sz w:val="20"/>
        </w:rPr>
        <w:t>demographic shifts, longevity</w:t>
      </w:r>
      <w:r w:rsidR="004B024A">
        <w:rPr>
          <w:sz w:val="20"/>
        </w:rPr>
        <w:t xml:space="preserve"> challenges</w:t>
      </w:r>
      <w:r w:rsidRPr="00BE487E">
        <w:rPr>
          <w:sz w:val="20"/>
        </w:rPr>
        <w:t xml:space="preserve"> and adequacy of the </w:t>
      </w:r>
      <w:r w:rsidR="00CB7AF6" w:rsidRPr="00BE487E">
        <w:rPr>
          <w:sz w:val="20"/>
        </w:rPr>
        <w:t xml:space="preserve">world’s </w:t>
      </w:r>
      <w:r w:rsidR="00E1016C">
        <w:rPr>
          <w:sz w:val="20"/>
        </w:rPr>
        <w:t>fourth</w:t>
      </w:r>
      <w:r w:rsidR="00CB7AF6" w:rsidRPr="00BE487E">
        <w:rPr>
          <w:sz w:val="20"/>
        </w:rPr>
        <w:t xml:space="preserve"> largest</w:t>
      </w:r>
      <w:r w:rsidRPr="00BE487E">
        <w:rPr>
          <w:sz w:val="20"/>
        </w:rPr>
        <w:t xml:space="preserve"> </w:t>
      </w:r>
      <w:r w:rsidR="00CB7AF6" w:rsidRPr="00BE487E">
        <w:rPr>
          <w:sz w:val="20"/>
        </w:rPr>
        <w:t>super</w:t>
      </w:r>
      <w:r w:rsidR="00124A6C" w:rsidRPr="00BE487E">
        <w:rPr>
          <w:sz w:val="20"/>
        </w:rPr>
        <w:t xml:space="preserve"> asset pool</w:t>
      </w:r>
      <w:r w:rsidRPr="00BE487E">
        <w:rPr>
          <w:sz w:val="20"/>
        </w:rPr>
        <w:t>.</w:t>
      </w:r>
    </w:p>
    <w:p w:rsidR="001C68C5" w:rsidRPr="00BE487E" w:rsidRDefault="001C68C5" w:rsidP="00397403">
      <w:pPr>
        <w:pStyle w:val="Body"/>
        <w:rPr>
          <w:sz w:val="20"/>
        </w:rPr>
      </w:pPr>
    </w:p>
    <w:p w:rsidR="009A5250" w:rsidRPr="00BE487E" w:rsidRDefault="00F273F9" w:rsidP="00397403">
      <w:pPr>
        <w:pStyle w:val="Body"/>
        <w:rPr>
          <w:sz w:val="20"/>
        </w:rPr>
      </w:pPr>
      <w:r w:rsidRPr="00BE487E">
        <w:rPr>
          <w:sz w:val="20"/>
        </w:rPr>
        <w:t>W</w:t>
      </w:r>
      <w:r w:rsidR="0069600A" w:rsidRPr="00BE487E">
        <w:rPr>
          <w:sz w:val="20"/>
        </w:rPr>
        <w:t>ith current total assets of $</w:t>
      </w:r>
      <w:r w:rsidR="00CB7AF6" w:rsidRPr="00BE487E">
        <w:rPr>
          <w:sz w:val="20"/>
        </w:rPr>
        <w:t>2</w:t>
      </w:r>
      <w:r w:rsidR="0069600A" w:rsidRPr="00BE487E">
        <w:rPr>
          <w:sz w:val="20"/>
        </w:rPr>
        <w:t xml:space="preserve"> trillion</w:t>
      </w:r>
      <w:r w:rsidR="00CB7AF6" w:rsidRPr="00BE487E">
        <w:rPr>
          <w:sz w:val="20"/>
        </w:rPr>
        <w:t xml:space="preserve">, the pool of </w:t>
      </w:r>
      <w:r w:rsidR="0069600A" w:rsidRPr="00BE487E">
        <w:rPr>
          <w:sz w:val="20"/>
        </w:rPr>
        <w:t xml:space="preserve">the Australian </w:t>
      </w:r>
      <w:r w:rsidR="00E118F9" w:rsidRPr="00BE487E">
        <w:rPr>
          <w:sz w:val="20"/>
        </w:rPr>
        <w:t xml:space="preserve">superannuation </w:t>
      </w:r>
      <w:r w:rsidR="0069600A" w:rsidRPr="00BE487E">
        <w:rPr>
          <w:sz w:val="20"/>
        </w:rPr>
        <w:t>system</w:t>
      </w:r>
      <w:r w:rsidRPr="00BE487E">
        <w:rPr>
          <w:sz w:val="20"/>
        </w:rPr>
        <w:t xml:space="preserve"> is</w:t>
      </w:r>
      <w:r w:rsidR="0069600A" w:rsidRPr="00BE487E">
        <w:rPr>
          <w:sz w:val="20"/>
        </w:rPr>
        <w:t xml:space="preserve"> projected to </w:t>
      </w:r>
      <w:r w:rsidR="004F42E1" w:rsidRPr="00BE487E">
        <w:rPr>
          <w:sz w:val="20"/>
        </w:rPr>
        <w:t>double</w:t>
      </w:r>
      <w:r w:rsidR="0069600A" w:rsidRPr="00BE487E">
        <w:rPr>
          <w:sz w:val="20"/>
        </w:rPr>
        <w:t xml:space="preserve"> to </w:t>
      </w:r>
      <w:r w:rsidR="00500560">
        <w:rPr>
          <w:sz w:val="20"/>
        </w:rPr>
        <w:t xml:space="preserve">        </w:t>
      </w:r>
      <w:r w:rsidR="0069600A" w:rsidRPr="00BE487E">
        <w:rPr>
          <w:sz w:val="20"/>
        </w:rPr>
        <w:t>$</w:t>
      </w:r>
      <w:r w:rsidRPr="00BE487E">
        <w:rPr>
          <w:sz w:val="20"/>
        </w:rPr>
        <w:t>4</w:t>
      </w:r>
      <w:r w:rsidR="00500560">
        <w:rPr>
          <w:sz w:val="20"/>
        </w:rPr>
        <w:t xml:space="preserve"> </w:t>
      </w:r>
      <w:r w:rsidR="0069600A" w:rsidRPr="00BE487E">
        <w:rPr>
          <w:sz w:val="20"/>
        </w:rPr>
        <w:t>tr</w:t>
      </w:r>
      <w:r w:rsidR="00500560">
        <w:rPr>
          <w:sz w:val="20"/>
        </w:rPr>
        <w:t>illion</w:t>
      </w:r>
      <w:r w:rsidR="0069600A" w:rsidRPr="00BE487E">
        <w:rPr>
          <w:sz w:val="20"/>
        </w:rPr>
        <w:t xml:space="preserve"> </w:t>
      </w:r>
      <w:r w:rsidR="004F268D" w:rsidRPr="00BE487E">
        <w:rPr>
          <w:sz w:val="20"/>
        </w:rPr>
        <w:t xml:space="preserve">in the next 10 years </w:t>
      </w:r>
      <w:r w:rsidR="0069600A" w:rsidRPr="00BE487E">
        <w:rPr>
          <w:sz w:val="20"/>
        </w:rPr>
        <w:t xml:space="preserve">and </w:t>
      </w:r>
      <w:r w:rsidR="004F42E1" w:rsidRPr="00BE487E">
        <w:rPr>
          <w:sz w:val="20"/>
        </w:rPr>
        <w:t xml:space="preserve">reach </w:t>
      </w:r>
      <w:r w:rsidR="0069600A" w:rsidRPr="00BE487E">
        <w:rPr>
          <w:sz w:val="20"/>
        </w:rPr>
        <w:t>$</w:t>
      </w:r>
      <w:r w:rsidR="004F42E1" w:rsidRPr="00BE487E">
        <w:rPr>
          <w:sz w:val="20"/>
        </w:rPr>
        <w:t>9.5</w:t>
      </w:r>
      <w:r w:rsidR="00AE3840">
        <w:rPr>
          <w:sz w:val="20"/>
        </w:rPr>
        <w:t xml:space="preserve"> </w:t>
      </w:r>
      <w:r w:rsidR="0069600A" w:rsidRPr="00BE487E">
        <w:rPr>
          <w:sz w:val="20"/>
        </w:rPr>
        <w:t>tr</w:t>
      </w:r>
      <w:r w:rsidR="00AE3840">
        <w:rPr>
          <w:sz w:val="20"/>
        </w:rPr>
        <w:t>illion</w:t>
      </w:r>
      <w:r w:rsidR="0069600A" w:rsidRPr="00BE487E">
        <w:rPr>
          <w:sz w:val="20"/>
        </w:rPr>
        <w:t xml:space="preserve"> by 203</w:t>
      </w:r>
      <w:r w:rsidR="004F42E1" w:rsidRPr="00BE487E">
        <w:rPr>
          <w:sz w:val="20"/>
        </w:rPr>
        <w:t>5</w:t>
      </w:r>
      <w:r w:rsidR="0069600A" w:rsidRPr="00BE487E">
        <w:rPr>
          <w:sz w:val="20"/>
        </w:rPr>
        <w:t>.</w:t>
      </w:r>
      <w:r w:rsidR="001C68C5" w:rsidRPr="00BE487E">
        <w:rPr>
          <w:sz w:val="20"/>
        </w:rPr>
        <w:t xml:space="preserve"> </w:t>
      </w:r>
      <w:r w:rsidR="00BE487E">
        <w:rPr>
          <w:sz w:val="20"/>
        </w:rPr>
        <w:t xml:space="preserve"> </w:t>
      </w:r>
      <w:r w:rsidR="009A5250" w:rsidRPr="00BE487E">
        <w:rPr>
          <w:b/>
          <w:sz w:val="20"/>
        </w:rPr>
        <w:t>Deloitte Superannuation Leader, Russell Mason</w:t>
      </w:r>
      <w:r w:rsidR="00400315" w:rsidRPr="00BE487E">
        <w:rPr>
          <w:sz w:val="20"/>
        </w:rPr>
        <w:t>,</w:t>
      </w:r>
      <w:r w:rsidR="009A5250" w:rsidRPr="00BE487E">
        <w:rPr>
          <w:sz w:val="20"/>
        </w:rPr>
        <w:t xml:space="preserve"> said</w:t>
      </w:r>
      <w:r w:rsidR="001C68C5" w:rsidRPr="00BE487E">
        <w:rPr>
          <w:sz w:val="20"/>
        </w:rPr>
        <w:t xml:space="preserve"> i</w:t>
      </w:r>
      <w:r w:rsidR="009A5250" w:rsidRPr="00BE487E">
        <w:rPr>
          <w:sz w:val="20"/>
        </w:rPr>
        <w:t>n real terms this means that the contribution of</w:t>
      </w:r>
      <w:r w:rsidR="00AE3840">
        <w:rPr>
          <w:sz w:val="20"/>
        </w:rPr>
        <w:t xml:space="preserve"> </w:t>
      </w:r>
      <w:r w:rsidR="009A5250" w:rsidRPr="00BE487E">
        <w:rPr>
          <w:sz w:val="20"/>
        </w:rPr>
        <w:t xml:space="preserve"> superannuation assets will </w:t>
      </w:r>
      <w:r w:rsidR="004B024A">
        <w:rPr>
          <w:sz w:val="20"/>
        </w:rPr>
        <w:t xml:space="preserve">almost </w:t>
      </w:r>
      <w:r w:rsidR="007B10DA" w:rsidRPr="00BE487E">
        <w:rPr>
          <w:sz w:val="20"/>
        </w:rPr>
        <w:t>double</w:t>
      </w:r>
      <w:r w:rsidR="009A5250" w:rsidRPr="00BE487E">
        <w:rPr>
          <w:sz w:val="20"/>
        </w:rPr>
        <w:t xml:space="preserve"> from </w:t>
      </w:r>
      <w:r w:rsidR="004B024A">
        <w:rPr>
          <w:sz w:val="20"/>
        </w:rPr>
        <w:t>120%</w:t>
      </w:r>
      <w:r w:rsidR="009A5250" w:rsidRPr="00BE487E">
        <w:rPr>
          <w:sz w:val="20"/>
        </w:rPr>
        <w:t xml:space="preserve"> of </w:t>
      </w:r>
      <w:r w:rsidR="004F45CB" w:rsidRPr="00BE487E">
        <w:rPr>
          <w:sz w:val="20"/>
        </w:rPr>
        <w:t xml:space="preserve">current annual </w:t>
      </w:r>
      <w:r w:rsidR="009A5250" w:rsidRPr="00BE487E">
        <w:rPr>
          <w:sz w:val="20"/>
        </w:rPr>
        <w:t xml:space="preserve">Gross Domestic </w:t>
      </w:r>
      <w:r w:rsidR="00400315" w:rsidRPr="00BE487E">
        <w:rPr>
          <w:sz w:val="20"/>
        </w:rPr>
        <w:t>P</w:t>
      </w:r>
      <w:r w:rsidR="009A5250" w:rsidRPr="00BE487E">
        <w:rPr>
          <w:sz w:val="20"/>
        </w:rPr>
        <w:t xml:space="preserve">roduct </w:t>
      </w:r>
      <w:r w:rsidR="004F45CB" w:rsidRPr="00BE487E">
        <w:rPr>
          <w:sz w:val="20"/>
        </w:rPr>
        <w:t>(AUD$</w:t>
      </w:r>
      <w:r w:rsidR="004B024A">
        <w:rPr>
          <w:sz w:val="20"/>
        </w:rPr>
        <w:t>1.6</w:t>
      </w:r>
      <w:r w:rsidR="004F45CB" w:rsidRPr="00BE487E">
        <w:rPr>
          <w:sz w:val="20"/>
        </w:rPr>
        <w:t xml:space="preserve"> trillion - the </w:t>
      </w:r>
      <w:r w:rsidR="004B024A">
        <w:rPr>
          <w:sz w:val="20"/>
        </w:rPr>
        <w:t>12th</w:t>
      </w:r>
      <w:r w:rsidR="004B024A" w:rsidRPr="00BE487E">
        <w:rPr>
          <w:sz w:val="20"/>
        </w:rPr>
        <w:t xml:space="preserve"> </w:t>
      </w:r>
      <w:r w:rsidR="004F45CB" w:rsidRPr="00BE487E">
        <w:rPr>
          <w:sz w:val="20"/>
        </w:rPr>
        <w:t xml:space="preserve">largest </w:t>
      </w:r>
      <w:r w:rsidR="00B03637" w:rsidRPr="00BE487E">
        <w:rPr>
          <w:sz w:val="20"/>
        </w:rPr>
        <w:t xml:space="preserve">GDP </w:t>
      </w:r>
      <w:r w:rsidR="004F45CB" w:rsidRPr="00BE487E">
        <w:rPr>
          <w:sz w:val="20"/>
        </w:rPr>
        <w:t xml:space="preserve">in the world) </w:t>
      </w:r>
      <w:r w:rsidR="009A5250" w:rsidRPr="00BE487E">
        <w:rPr>
          <w:sz w:val="20"/>
        </w:rPr>
        <w:t xml:space="preserve">to </w:t>
      </w:r>
      <w:r w:rsidR="007B10DA" w:rsidRPr="00BE487E">
        <w:rPr>
          <w:sz w:val="20"/>
        </w:rPr>
        <w:t>more than 20</w:t>
      </w:r>
      <w:r w:rsidR="009A5250" w:rsidRPr="00BE487E">
        <w:rPr>
          <w:sz w:val="20"/>
        </w:rPr>
        <w:t>0% of GDP in the next 20 years.</w:t>
      </w:r>
    </w:p>
    <w:p w:rsidR="00E118F9" w:rsidRPr="00BE487E" w:rsidRDefault="00E118F9" w:rsidP="00397403">
      <w:pPr>
        <w:pStyle w:val="Body"/>
        <w:rPr>
          <w:sz w:val="20"/>
        </w:rPr>
      </w:pPr>
    </w:p>
    <w:p w:rsidR="008C07A3" w:rsidRPr="00BE487E" w:rsidRDefault="001C68C5" w:rsidP="00B03637">
      <w:pPr>
        <w:pStyle w:val="Body"/>
        <w:rPr>
          <w:sz w:val="20"/>
        </w:rPr>
      </w:pPr>
      <w:r w:rsidRPr="00BE487E">
        <w:rPr>
          <w:sz w:val="20"/>
        </w:rPr>
        <w:t>“</w:t>
      </w:r>
      <w:r w:rsidR="00F223B1" w:rsidRPr="00BE487E">
        <w:rPr>
          <w:sz w:val="20"/>
        </w:rPr>
        <w:t xml:space="preserve">These </w:t>
      </w:r>
      <w:r w:rsidR="00B03637" w:rsidRPr="00BE487E">
        <w:rPr>
          <w:sz w:val="20"/>
        </w:rPr>
        <w:t xml:space="preserve">cumulative </w:t>
      </w:r>
      <w:r w:rsidR="00F223B1" w:rsidRPr="00BE487E">
        <w:rPr>
          <w:sz w:val="20"/>
        </w:rPr>
        <w:t>projections reflect the legislated increases in the Superannuation Guarantee (SG) from 9.5% to 12% by July 2025, with the next increase (to 10%) scheduled from 1 July 2021</w:t>
      </w:r>
      <w:r w:rsidR="00B03637" w:rsidRPr="00BE487E">
        <w:rPr>
          <w:sz w:val="20"/>
        </w:rPr>
        <w:t>. However, g</w:t>
      </w:r>
      <w:r w:rsidR="00F223B1" w:rsidRPr="00BE487E">
        <w:rPr>
          <w:sz w:val="20"/>
        </w:rPr>
        <w:t>iven the current low interest rate environment and volatile</w:t>
      </w:r>
      <w:r w:rsidR="00B03637" w:rsidRPr="00BE487E">
        <w:rPr>
          <w:sz w:val="20"/>
        </w:rPr>
        <w:t xml:space="preserve"> super fund returns, there are </w:t>
      </w:r>
      <w:r w:rsidR="00F223B1" w:rsidRPr="00BE487E">
        <w:rPr>
          <w:sz w:val="20"/>
        </w:rPr>
        <w:t>material sequencing risks for</w:t>
      </w:r>
      <w:r w:rsidR="00B03637" w:rsidRPr="00BE487E">
        <w:rPr>
          <w:sz w:val="20"/>
        </w:rPr>
        <w:t xml:space="preserve"> retirees,” Mason said.</w:t>
      </w:r>
      <w:r w:rsidR="00F223B1" w:rsidRPr="00BE487E">
        <w:rPr>
          <w:sz w:val="20"/>
        </w:rPr>
        <w:t xml:space="preserve"> </w:t>
      </w:r>
      <w:r w:rsidR="00B03637" w:rsidRPr="00BE487E">
        <w:rPr>
          <w:sz w:val="20"/>
        </w:rPr>
        <w:t>“</w:t>
      </w:r>
      <w:r w:rsidR="007B10DA" w:rsidRPr="00BE487E">
        <w:rPr>
          <w:sz w:val="20"/>
        </w:rPr>
        <w:t>Given that</w:t>
      </w:r>
      <w:r w:rsidR="00B03637" w:rsidRPr="00BE487E">
        <w:rPr>
          <w:sz w:val="20"/>
        </w:rPr>
        <w:t xml:space="preserve"> annual earnings have not been adequate to sustain living needs</w:t>
      </w:r>
      <w:r w:rsidR="007B10DA" w:rsidRPr="00BE487E">
        <w:rPr>
          <w:sz w:val="20"/>
        </w:rPr>
        <w:t xml:space="preserve">, </w:t>
      </w:r>
      <w:r w:rsidR="00B03637" w:rsidRPr="00BE487E">
        <w:rPr>
          <w:sz w:val="20"/>
        </w:rPr>
        <w:t xml:space="preserve">or minimum drawdown requirements, </w:t>
      </w:r>
      <w:r w:rsidR="00F223B1" w:rsidRPr="00BE487E">
        <w:rPr>
          <w:sz w:val="20"/>
        </w:rPr>
        <w:t xml:space="preserve">many retirees </w:t>
      </w:r>
      <w:r w:rsidR="00B03637" w:rsidRPr="00BE487E">
        <w:rPr>
          <w:sz w:val="20"/>
        </w:rPr>
        <w:t>have</w:t>
      </w:r>
      <w:r w:rsidR="007B10DA" w:rsidRPr="00BE487E">
        <w:rPr>
          <w:sz w:val="20"/>
        </w:rPr>
        <w:t xml:space="preserve"> had to</w:t>
      </w:r>
      <w:r w:rsidR="00B03637" w:rsidRPr="00BE487E">
        <w:rPr>
          <w:sz w:val="20"/>
        </w:rPr>
        <w:t xml:space="preserve"> </w:t>
      </w:r>
      <w:r w:rsidR="00F223B1" w:rsidRPr="00BE487E">
        <w:rPr>
          <w:sz w:val="20"/>
        </w:rPr>
        <w:t>draw</w:t>
      </w:r>
      <w:r w:rsidR="00143FA7" w:rsidRPr="00BE487E">
        <w:rPr>
          <w:sz w:val="20"/>
        </w:rPr>
        <w:t xml:space="preserve"> </w:t>
      </w:r>
      <w:r w:rsidR="00E25027" w:rsidRPr="00BE487E">
        <w:rPr>
          <w:sz w:val="20"/>
        </w:rPr>
        <w:t>down</w:t>
      </w:r>
      <w:r w:rsidR="00F223B1" w:rsidRPr="00BE487E">
        <w:rPr>
          <w:sz w:val="20"/>
        </w:rPr>
        <w:t xml:space="preserve"> greater proportions of their retirement savings</w:t>
      </w:r>
      <w:r w:rsidR="007B10DA" w:rsidRPr="00BE487E">
        <w:rPr>
          <w:sz w:val="20"/>
        </w:rPr>
        <w:t xml:space="preserve">, potentially </w:t>
      </w:r>
      <w:r w:rsidR="00E25027" w:rsidRPr="00BE487E">
        <w:rPr>
          <w:sz w:val="20"/>
        </w:rPr>
        <w:t>curtail</w:t>
      </w:r>
      <w:r w:rsidR="007B10DA" w:rsidRPr="00BE487E">
        <w:rPr>
          <w:sz w:val="20"/>
        </w:rPr>
        <w:t>ing</w:t>
      </w:r>
      <w:r w:rsidR="00E25027" w:rsidRPr="00BE487E">
        <w:rPr>
          <w:sz w:val="20"/>
        </w:rPr>
        <w:t xml:space="preserve"> previously projected</w:t>
      </w:r>
      <w:r w:rsidR="00B03637" w:rsidRPr="00BE487E">
        <w:rPr>
          <w:sz w:val="20"/>
        </w:rPr>
        <w:t xml:space="preserve"> growth in post-retirement assets</w:t>
      </w:r>
      <w:r w:rsidR="00E25027" w:rsidRPr="00BE487E">
        <w:rPr>
          <w:sz w:val="20"/>
        </w:rPr>
        <w:t xml:space="preserve"> </w:t>
      </w:r>
      <w:r w:rsidR="007B10DA" w:rsidRPr="00BE487E">
        <w:rPr>
          <w:sz w:val="20"/>
        </w:rPr>
        <w:t>which we now project to be</w:t>
      </w:r>
      <w:r w:rsidR="00B03637" w:rsidRPr="00BE487E">
        <w:rPr>
          <w:sz w:val="20"/>
        </w:rPr>
        <w:t xml:space="preserve"> $1.</w:t>
      </w:r>
      <w:r w:rsidR="004B024A">
        <w:rPr>
          <w:sz w:val="20"/>
        </w:rPr>
        <w:t>6</w:t>
      </w:r>
      <w:r w:rsidR="00B03637" w:rsidRPr="00BE487E">
        <w:rPr>
          <w:sz w:val="20"/>
        </w:rPr>
        <w:t xml:space="preserve"> trillion </w:t>
      </w:r>
      <w:r w:rsidR="00E25027" w:rsidRPr="00BE487E">
        <w:rPr>
          <w:sz w:val="20"/>
        </w:rPr>
        <w:t>in</w:t>
      </w:r>
      <w:r w:rsidR="00B03637" w:rsidRPr="00BE487E">
        <w:rPr>
          <w:sz w:val="20"/>
        </w:rPr>
        <w:t xml:space="preserve"> 2035</w:t>
      </w:r>
      <w:r w:rsidR="00E25027" w:rsidRPr="00BE487E">
        <w:rPr>
          <w:sz w:val="20"/>
        </w:rPr>
        <w:t>.</w:t>
      </w:r>
      <w:r w:rsidR="00B03637" w:rsidRPr="00BE487E">
        <w:rPr>
          <w:sz w:val="20"/>
        </w:rPr>
        <w:t xml:space="preserve">” </w:t>
      </w:r>
    </w:p>
    <w:p w:rsidR="00CB7AF6" w:rsidRPr="00BE487E" w:rsidRDefault="00CB7AF6" w:rsidP="00E118F9">
      <w:pPr>
        <w:pStyle w:val="Body"/>
        <w:rPr>
          <w:sz w:val="20"/>
        </w:rPr>
      </w:pPr>
    </w:p>
    <w:p w:rsidR="00CB7AF6" w:rsidRPr="00BE487E" w:rsidRDefault="00913CAC" w:rsidP="00E118F9">
      <w:pPr>
        <w:pStyle w:val="Body"/>
        <w:rPr>
          <w:rFonts w:eastAsiaTheme="majorEastAsia"/>
          <w:b/>
          <w:color w:val="000000"/>
          <w:szCs w:val="22"/>
          <w:lang w:eastAsia="en-AU"/>
        </w:rPr>
      </w:pPr>
      <w:r w:rsidRPr="00BE487E">
        <w:rPr>
          <w:rFonts w:eastAsiaTheme="majorEastAsia"/>
          <w:b/>
          <w:color w:val="000000"/>
          <w:szCs w:val="22"/>
          <w:lang w:eastAsia="en-AU"/>
        </w:rPr>
        <w:t>Total superannuation assets to 2035</w:t>
      </w:r>
    </w:p>
    <w:p w:rsidR="00CB7AF6" w:rsidRDefault="00CB7AF6" w:rsidP="00E118F9">
      <w:pPr>
        <w:pStyle w:val="Body"/>
        <w:rPr>
          <w:rFonts w:eastAsiaTheme="majorEastAsia"/>
          <w:b/>
          <w:color w:val="000000"/>
          <w:szCs w:val="22"/>
          <w:lang w:eastAsia="en-AU"/>
        </w:rPr>
      </w:pPr>
    </w:p>
    <w:p w:rsidR="001C68C5" w:rsidRDefault="00913CAC" w:rsidP="001B332B">
      <w:pPr>
        <w:pStyle w:val="Body"/>
        <w:jc w:val="center"/>
      </w:pPr>
      <w:r w:rsidRPr="00913CAC">
        <w:rPr>
          <w:noProof/>
          <w:lang w:eastAsia="en-AU"/>
        </w:rPr>
        <w:drawing>
          <wp:inline distT="0" distB="0" distL="0" distR="0" wp14:anchorId="2ADE4FF1" wp14:editId="2DAD8AEC">
            <wp:extent cx="5070143" cy="2984667"/>
            <wp:effectExtent l="0" t="0" r="0"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4574" cy="2987275"/>
                    </a:xfrm>
                    <a:prstGeom prst="rect">
                      <a:avLst/>
                    </a:prstGeom>
                  </pic:spPr>
                </pic:pic>
              </a:graphicData>
            </a:graphic>
          </wp:inline>
        </w:drawing>
      </w:r>
    </w:p>
    <w:p w:rsidR="00BE487E" w:rsidRDefault="00BE487E" w:rsidP="00496307">
      <w:pPr>
        <w:pStyle w:val="Body"/>
        <w:rPr>
          <w:rFonts w:eastAsiaTheme="majorEastAsia"/>
          <w:b/>
          <w:color w:val="000000"/>
          <w:sz w:val="24"/>
          <w:szCs w:val="24"/>
        </w:rPr>
      </w:pPr>
    </w:p>
    <w:p w:rsidR="00D84D0F" w:rsidRPr="00BE487E" w:rsidRDefault="008A7B22" w:rsidP="00496307">
      <w:pPr>
        <w:pStyle w:val="Body"/>
        <w:rPr>
          <w:rFonts w:eastAsiaTheme="majorEastAsia"/>
          <w:b/>
          <w:color w:val="000000"/>
          <w:szCs w:val="22"/>
        </w:rPr>
      </w:pPr>
      <w:r w:rsidRPr="00BE487E">
        <w:rPr>
          <w:rFonts w:eastAsiaTheme="majorEastAsia"/>
          <w:b/>
          <w:color w:val="000000"/>
          <w:szCs w:val="22"/>
        </w:rPr>
        <w:t>Concessional contribution and lifetime cap proposals</w:t>
      </w:r>
    </w:p>
    <w:p w:rsidR="00496307" w:rsidRPr="00BE487E" w:rsidRDefault="00ED1264" w:rsidP="00496307">
      <w:pPr>
        <w:pStyle w:val="Body"/>
        <w:rPr>
          <w:sz w:val="20"/>
        </w:rPr>
      </w:pPr>
      <w:r w:rsidRPr="00ED1264">
        <w:rPr>
          <w:iCs/>
          <w:sz w:val="20"/>
        </w:rPr>
        <w:t>Mason</w:t>
      </w:r>
      <w:r w:rsidR="008A7B22" w:rsidRPr="00BE487E">
        <w:rPr>
          <w:iCs/>
          <w:sz w:val="20"/>
        </w:rPr>
        <w:t xml:space="preserve"> said: </w:t>
      </w:r>
      <w:r w:rsidR="00E25027" w:rsidRPr="00BE487E">
        <w:rPr>
          <w:sz w:val="20"/>
        </w:rPr>
        <w:t>“</w:t>
      </w:r>
      <w:r w:rsidR="00496307" w:rsidRPr="00BE487E">
        <w:rPr>
          <w:sz w:val="20"/>
        </w:rPr>
        <w:t xml:space="preserve">Our </w:t>
      </w:r>
      <w:r w:rsidR="00EC7FA4" w:rsidRPr="00BE487E">
        <w:rPr>
          <w:sz w:val="20"/>
        </w:rPr>
        <w:t xml:space="preserve">research highlights </w:t>
      </w:r>
      <w:r w:rsidR="00496307" w:rsidRPr="00BE487E">
        <w:rPr>
          <w:sz w:val="20"/>
        </w:rPr>
        <w:t>significant changes in longevity</w:t>
      </w:r>
      <w:r w:rsidR="00143FA7" w:rsidRPr="00BE487E">
        <w:rPr>
          <w:sz w:val="20"/>
        </w:rPr>
        <w:t>. T</w:t>
      </w:r>
      <w:r w:rsidR="00496307" w:rsidRPr="00BE487E">
        <w:rPr>
          <w:sz w:val="20"/>
        </w:rPr>
        <w:t xml:space="preserve">he proportion of retirees to working Australians has almost doubled in the past 60 years. </w:t>
      </w:r>
      <w:r w:rsidR="00143FA7" w:rsidRPr="00BE487E">
        <w:rPr>
          <w:sz w:val="20"/>
        </w:rPr>
        <w:t>C</w:t>
      </w:r>
      <w:r w:rsidR="00496307" w:rsidRPr="00BE487E">
        <w:rPr>
          <w:sz w:val="20"/>
        </w:rPr>
        <w:t xml:space="preserve">urrently </w:t>
      </w:r>
      <w:r w:rsidR="00143FA7" w:rsidRPr="00BE487E">
        <w:rPr>
          <w:sz w:val="20"/>
        </w:rPr>
        <w:t xml:space="preserve">there are </w:t>
      </w:r>
      <w:r w:rsidR="00496307" w:rsidRPr="00BE487E">
        <w:rPr>
          <w:sz w:val="20"/>
        </w:rPr>
        <w:t xml:space="preserve">four and a half workers for </w:t>
      </w:r>
      <w:r w:rsidR="00DA698F" w:rsidRPr="00BE487E">
        <w:rPr>
          <w:sz w:val="20"/>
        </w:rPr>
        <w:t>every</w:t>
      </w:r>
      <w:r w:rsidR="00496307" w:rsidRPr="00BE487E">
        <w:rPr>
          <w:sz w:val="20"/>
        </w:rPr>
        <w:t xml:space="preserve"> retiree in Australia</w:t>
      </w:r>
      <w:r w:rsidR="00143FA7" w:rsidRPr="00BE487E">
        <w:rPr>
          <w:sz w:val="20"/>
        </w:rPr>
        <w:t>. B</w:t>
      </w:r>
      <w:r w:rsidR="00496307" w:rsidRPr="00BE487E">
        <w:rPr>
          <w:sz w:val="20"/>
        </w:rPr>
        <w:t xml:space="preserve">y 2050 </w:t>
      </w:r>
      <w:r w:rsidR="00DA698F" w:rsidRPr="00BE487E">
        <w:rPr>
          <w:sz w:val="20"/>
        </w:rPr>
        <w:t xml:space="preserve">we believe this </w:t>
      </w:r>
      <w:r w:rsidR="00496307" w:rsidRPr="00BE487E">
        <w:rPr>
          <w:sz w:val="20"/>
        </w:rPr>
        <w:t xml:space="preserve">will drop to just two and a third workers for each retiree. This means </w:t>
      </w:r>
      <w:r w:rsidR="00463E5A" w:rsidRPr="00BE487E">
        <w:rPr>
          <w:sz w:val="20"/>
        </w:rPr>
        <w:t>finding</w:t>
      </w:r>
      <w:r w:rsidR="00EC7FA4" w:rsidRPr="00BE487E">
        <w:rPr>
          <w:sz w:val="20"/>
        </w:rPr>
        <w:t xml:space="preserve"> r</w:t>
      </w:r>
      <w:r w:rsidR="00DA698F" w:rsidRPr="00BE487E">
        <w:rPr>
          <w:sz w:val="20"/>
        </w:rPr>
        <w:t>evenue</w:t>
      </w:r>
      <w:r w:rsidR="00EC7FA4" w:rsidRPr="00BE487E">
        <w:rPr>
          <w:sz w:val="20"/>
        </w:rPr>
        <w:t xml:space="preserve"> to support</w:t>
      </w:r>
      <w:r w:rsidR="00143FA7" w:rsidRPr="00BE487E">
        <w:rPr>
          <w:sz w:val="20"/>
        </w:rPr>
        <w:t xml:space="preserve"> the aged pension</w:t>
      </w:r>
      <w:r w:rsidR="00463E5A" w:rsidRPr="00BE487E">
        <w:rPr>
          <w:sz w:val="20"/>
        </w:rPr>
        <w:t xml:space="preserve"> and building ways to achieve</w:t>
      </w:r>
      <w:r w:rsidR="00DA698F" w:rsidRPr="00BE487E">
        <w:rPr>
          <w:sz w:val="20"/>
        </w:rPr>
        <w:t xml:space="preserve"> </w:t>
      </w:r>
      <w:r w:rsidR="00496307" w:rsidRPr="00BE487E">
        <w:rPr>
          <w:sz w:val="20"/>
        </w:rPr>
        <w:t xml:space="preserve">adequacy </w:t>
      </w:r>
      <w:r w:rsidR="00EC7FA4" w:rsidRPr="00BE487E">
        <w:rPr>
          <w:sz w:val="20"/>
        </w:rPr>
        <w:t xml:space="preserve">in retirement </w:t>
      </w:r>
      <w:r w:rsidR="00496307" w:rsidRPr="00BE487E">
        <w:rPr>
          <w:sz w:val="20"/>
        </w:rPr>
        <w:t>have never been more important.</w:t>
      </w:r>
    </w:p>
    <w:p w:rsidR="00496307" w:rsidRPr="00BE487E" w:rsidRDefault="00496307" w:rsidP="00496307">
      <w:pPr>
        <w:pStyle w:val="Body"/>
        <w:rPr>
          <w:i/>
          <w:iCs/>
          <w:sz w:val="20"/>
        </w:rPr>
      </w:pPr>
    </w:p>
    <w:p w:rsidR="009F1F15" w:rsidRPr="00BE487E" w:rsidRDefault="00BD0E2A" w:rsidP="009F1F15">
      <w:pPr>
        <w:pStyle w:val="Body"/>
        <w:rPr>
          <w:sz w:val="20"/>
        </w:rPr>
      </w:pPr>
      <w:r w:rsidRPr="00BE487E">
        <w:rPr>
          <w:iCs/>
          <w:sz w:val="20"/>
        </w:rPr>
        <w:lastRenderedPageBreak/>
        <w:t xml:space="preserve">“To </w:t>
      </w:r>
      <w:r w:rsidR="00EC7FA4" w:rsidRPr="00BE487E">
        <w:rPr>
          <w:iCs/>
          <w:sz w:val="20"/>
        </w:rPr>
        <w:t xml:space="preserve">help manage </w:t>
      </w:r>
      <w:r w:rsidRPr="00BE487E">
        <w:rPr>
          <w:iCs/>
          <w:sz w:val="20"/>
        </w:rPr>
        <w:t>these critical issues w</w:t>
      </w:r>
      <w:r w:rsidR="00496307" w:rsidRPr="00BE487E">
        <w:rPr>
          <w:iCs/>
          <w:sz w:val="20"/>
        </w:rPr>
        <w:t>e</w:t>
      </w:r>
      <w:r w:rsidR="00496307" w:rsidRPr="00BE487E">
        <w:rPr>
          <w:i/>
          <w:iCs/>
          <w:sz w:val="20"/>
        </w:rPr>
        <w:t xml:space="preserve"> </w:t>
      </w:r>
      <w:r w:rsidR="00496307" w:rsidRPr="00BE487E">
        <w:rPr>
          <w:iCs/>
          <w:sz w:val="20"/>
        </w:rPr>
        <w:t xml:space="preserve">propose </w:t>
      </w:r>
      <w:r w:rsidR="00961BFE" w:rsidRPr="00BE487E">
        <w:rPr>
          <w:iCs/>
          <w:sz w:val="20"/>
        </w:rPr>
        <w:t>u</w:t>
      </w:r>
      <w:r w:rsidR="00496307" w:rsidRPr="00BE487E">
        <w:rPr>
          <w:sz w:val="20"/>
        </w:rPr>
        <w:t xml:space="preserve">nderpinning the </w:t>
      </w:r>
      <w:r w:rsidR="009F1F15" w:rsidRPr="00BE487E">
        <w:rPr>
          <w:sz w:val="20"/>
        </w:rPr>
        <w:t>SG</w:t>
      </w:r>
      <w:r w:rsidR="00496307" w:rsidRPr="00BE487E">
        <w:rPr>
          <w:sz w:val="20"/>
        </w:rPr>
        <w:t xml:space="preserve"> with effective concessions and incentives for voluntary contributions</w:t>
      </w:r>
      <w:r w:rsidR="00463E5A" w:rsidRPr="00BE487E">
        <w:rPr>
          <w:sz w:val="20"/>
        </w:rPr>
        <w:t xml:space="preserve">, </w:t>
      </w:r>
      <w:r w:rsidR="00496307" w:rsidRPr="00BE487E">
        <w:rPr>
          <w:sz w:val="20"/>
        </w:rPr>
        <w:t>includ</w:t>
      </w:r>
      <w:r w:rsidR="00463E5A" w:rsidRPr="00BE487E">
        <w:rPr>
          <w:sz w:val="20"/>
        </w:rPr>
        <w:t>ing</w:t>
      </w:r>
      <w:r w:rsidR="00496307" w:rsidRPr="00BE487E">
        <w:rPr>
          <w:sz w:val="20"/>
        </w:rPr>
        <w:t xml:space="preserve"> concessional contribution caps based on joint incomes and</w:t>
      </w:r>
      <w:r w:rsidR="004B024A">
        <w:rPr>
          <w:sz w:val="20"/>
        </w:rPr>
        <w:t>/or</w:t>
      </w:r>
      <w:r w:rsidR="00496307" w:rsidRPr="00BE487E">
        <w:rPr>
          <w:sz w:val="20"/>
        </w:rPr>
        <w:t xml:space="preserve"> lifetime</w:t>
      </w:r>
      <w:r w:rsidR="00124A6C" w:rsidRPr="00BE487E">
        <w:rPr>
          <w:sz w:val="20"/>
        </w:rPr>
        <w:t xml:space="preserve"> </w:t>
      </w:r>
      <w:r w:rsidR="00496307" w:rsidRPr="00BE487E">
        <w:rPr>
          <w:sz w:val="20"/>
        </w:rPr>
        <w:t>contribution caps</w:t>
      </w:r>
      <w:r w:rsidR="00EC7FA4" w:rsidRPr="00BE487E">
        <w:rPr>
          <w:sz w:val="20"/>
        </w:rPr>
        <w:t>. O</w:t>
      </w:r>
      <w:r w:rsidR="00D84D0F" w:rsidRPr="00BE487E">
        <w:rPr>
          <w:sz w:val="20"/>
        </w:rPr>
        <w:t xml:space="preserve">ur modelling shows </w:t>
      </w:r>
      <w:r w:rsidR="00EC7FA4" w:rsidRPr="00BE487E">
        <w:rPr>
          <w:sz w:val="20"/>
        </w:rPr>
        <w:t>such concessions would be</w:t>
      </w:r>
      <w:r w:rsidR="00D84D0F" w:rsidRPr="00BE487E">
        <w:rPr>
          <w:sz w:val="20"/>
        </w:rPr>
        <w:t xml:space="preserve"> potentially less expensive for the Government</w:t>
      </w:r>
      <w:r w:rsidR="004B024A">
        <w:rPr>
          <w:sz w:val="20"/>
        </w:rPr>
        <w:t xml:space="preserve"> after considering expected savings in age pension payments</w:t>
      </w:r>
      <w:r w:rsidR="009F1F15" w:rsidRPr="00BE487E">
        <w:rPr>
          <w:sz w:val="20"/>
        </w:rPr>
        <w:t xml:space="preserve">. Assuming </w:t>
      </w:r>
      <w:r w:rsidR="00463E5A" w:rsidRPr="00BE487E">
        <w:rPr>
          <w:sz w:val="20"/>
        </w:rPr>
        <w:t xml:space="preserve">a </w:t>
      </w:r>
      <w:r w:rsidR="009F1F15" w:rsidRPr="00BE487E">
        <w:rPr>
          <w:sz w:val="20"/>
        </w:rPr>
        <w:t xml:space="preserve">typical default investment fund and normal investment outcomes, </w:t>
      </w:r>
      <w:r w:rsidR="00463E5A" w:rsidRPr="00BE487E">
        <w:rPr>
          <w:sz w:val="20"/>
        </w:rPr>
        <w:t>with</w:t>
      </w:r>
      <w:r w:rsidR="009F1F15" w:rsidRPr="00BE487E">
        <w:rPr>
          <w:sz w:val="20"/>
        </w:rPr>
        <w:t xml:space="preserve"> most voluntary contributions made after age 45, a lifetime contribution cap of $580,000 would be </w:t>
      </w:r>
      <w:r w:rsidR="00463E5A" w:rsidRPr="00BE487E">
        <w:rPr>
          <w:sz w:val="20"/>
        </w:rPr>
        <w:t>sufficient</w:t>
      </w:r>
      <w:r w:rsidR="009F1F15" w:rsidRPr="00BE487E">
        <w:rPr>
          <w:sz w:val="20"/>
        </w:rPr>
        <w:t>.”</w:t>
      </w:r>
    </w:p>
    <w:p w:rsidR="00961BFE" w:rsidRPr="00BE487E" w:rsidRDefault="00961BFE" w:rsidP="00961BFE">
      <w:pPr>
        <w:pStyle w:val="Body"/>
        <w:rPr>
          <w:sz w:val="20"/>
        </w:rPr>
      </w:pPr>
    </w:p>
    <w:p w:rsidR="008A7B22" w:rsidRPr="001B332B" w:rsidRDefault="008A7B22" w:rsidP="00961BFE">
      <w:pPr>
        <w:pStyle w:val="Body"/>
        <w:rPr>
          <w:rFonts w:eastAsiaTheme="majorEastAsia"/>
          <w:b/>
          <w:color w:val="000000"/>
          <w:szCs w:val="22"/>
        </w:rPr>
      </w:pPr>
      <w:r w:rsidRPr="001B332B">
        <w:rPr>
          <w:rFonts w:eastAsiaTheme="majorEastAsia"/>
          <w:b/>
          <w:color w:val="000000"/>
          <w:szCs w:val="22"/>
        </w:rPr>
        <w:t>SG, taxation, working longer and education</w:t>
      </w:r>
    </w:p>
    <w:p w:rsidR="008A7B22" w:rsidRPr="001B332B" w:rsidRDefault="008A7B22" w:rsidP="001B332B">
      <w:pPr>
        <w:pStyle w:val="Body"/>
        <w:rPr>
          <w:sz w:val="20"/>
        </w:rPr>
      </w:pPr>
      <w:r w:rsidRPr="001B332B">
        <w:rPr>
          <w:b/>
          <w:sz w:val="20"/>
        </w:rPr>
        <w:t>Ben Facer, Deloitte Actuaries &amp; Consultants partner</w:t>
      </w:r>
      <w:r w:rsidRPr="001B332B">
        <w:rPr>
          <w:sz w:val="20"/>
        </w:rPr>
        <w:t xml:space="preserve"> </w:t>
      </w:r>
      <w:r w:rsidR="00EC7FA4" w:rsidRPr="001B332B">
        <w:rPr>
          <w:sz w:val="20"/>
        </w:rPr>
        <w:t>who helped</w:t>
      </w:r>
      <w:r w:rsidRPr="001B332B">
        <w:rPr>
          <w:sz w:val="20"/>
        </w:rPr>
        <w:t xml:space="preserve"> build the research said: </w:t>
      </w:r>
      <w:r w:rsidR="00961BFE" w:rsidRPr="001B332B">
        <w:rPr>
          <w:sz w:val="20"/>
        </w:rPr>
        <w:t>“We support i</w:t>
      </w:r>
      <w:r w:rsidR="00496307" w:rsidRPr="001B332B">
        <w:rPr>
          <w:sz w:val="20"/>
        </w:rPr>
        <w:t>ncreasing the Superannuation Guarantee to 12% as quickly as possible</w:t>
      </w:r>
      <w:r w:rsidR="009F1F15" w:rsidRPr="001B332B">
        <w:rPr>
          <w:sz w:val="20"/>
        </w:rPr>
        <w:t xml:space="preserve"> as c</w:t>
      </w:r>
      <w:r w:rsidR="00EC7FA4" w:rsidRPr="001B332B">
        <w:rPr>
          <w:sz w:val="20"/>
        </w:rPr>
        <w:t>urrent</w:t>
      </w:r>
      <w:r w:rsidRPr="001B332B">
        <w:rPr>
          <w:sz w:val="20"/>
        </w:rPr>
        <w:t xml:space="preserve"> superannuation benefits for most Australians at retirement w</w:t>
      </w:r>
      <w:r w:rsidR="00EC7FA4" w:rsidRPr="001B332B">
        <w:rPr>
          <w:sz w:val="20"/>
        </w:rPr>
        <w:t>on’t</w:t>
      </w:r>
      <w:r w:rsidRPr="001B332B">
        <w:rPr>
          <w:sz w:val="20"/>
        </w:rPr>
        <w:t xml:space="preserve"> be sufficient </w:t>
      </w:r>
      <w:r w:rsidR="00EC7FA4" w:rsidRPr="001B332B">
        <w:rPr>
          <w:sz w:val="20"/>
        </w:rPr>
        <w:t xml:space="preserve">to sustain </w:t>
      </w:r>
      <w:r w:rsidRPr="001B332B">
        <w:rPr>
          <w:sz w:val="20"/>
        </w:rPr>
        <w:t xml:space="preserve">a </w:t>
      </w:r>
      <w:r w:rsidR="00EC7FA4" w:rsidRPr="001B332B">
        <w:rPr>
          <w:sz w:val="20"/>
        </w:rPr>
        <w:t>‘</w:t>
      </w:r>
      <w:r w:rsidRPr="001B332B">
        <w:rPr>
          <w:sz w:val="20"/>
        </w:rPr>
        <w:t>reasonable</w:t>
      </w:r>
      <w:r w:rsidR="00EC7FA4" w:rsidRPr="001B332B">
        <w:rPr>
          <w:sz w:val="20"/>
        </w:rPr>
        <w:t>’</w:t>
      </w:r>
      <w:r w:rsidRPr="001B332B">
        <w:rPr>
          <w:sz w:val="20"/>
        </w:rPr>
        <w:t xml:space="preserve"> </w:t>
      </w:r>
      <w:r w:rsidR="00EC7FA4" w:rsidRPr="001B332B">
        <w:rPr>
          <w:sz w:val="20"/>
        </w:rPr>
        <w:t xml:space="preserve">or ‘comfortable’ </w:t>
      </w:r>
      <w:r w:rsidRPr="001B332B">
        <w:rPr>
          <w:sz w:val="20"/>
        </w:rPr>
        <w:t xml:space="preserve">standard of living without </w:t>
      </w:r>
      <w:r w:rsidR="00EC7FA4" w:rsidRPr="001B332B">
        <w:rPr>
          <w:sz w:val="20"/>
        </w:rPr>
        <w:t>relying</w:t>
      </w:r>
      <w:r w:rsidRPr="001B332B">
        <w:rPr>
          <w:sz w:val="20"/>
        </w:rPr>
        <w:t xml:space="preserve"> on </w:t>
      </w:r>
      <w:r w:rsidR="009F1F15" w:rsidRPr="001B332B">
        <w:rPr>
          <w:sz w:val="20"/>
        </w:rPr>
        <w:t>the</w:t>
      </w:r>
      <w:r w:rsidRPr="001B332B">
        <w:rPr>
          <w:sz w:val="20"/>
        </w:rPr>
        <w:t xml:space="preserve"> age pension</w:t>
      </w:r>
      <w:r w:rsidR="009F1F15" w:rsidRPr="001B332B">
        <w:rPr>
          <w:sz w:val="20"/>
        </w:rPr>
        <w:t>, at least in part</w:t>
      </w:r>
      <w:r w:rsidRPr="001B332B">
        <w:rPr>
          <w:sz w:val="20"/>
        </w:rPr>
        <w:t>. This means that most Australians</w:t>
      </w:r>
      <w:r w:rsidR="00EC7FA4" w:rsidRPr="001B332B">
        <w:rPr>
          <w:sz w:val="20"/>
        </w:rPr>
        <w:t>,</w:t>
      </w:r>
      <w:r w:rsidRPr="001B332B">
        <w:rPr>
          <w:sz w:val="20"/>
        </w:rPr>
        <w:t xml:space="preserve"> </w:t>
      </w:r>
      <w:r w:rsidR="00EC7FA4" w:rsidRPr="001B332B">
        <w:rPr>
          <w:sz w:val="20"/>
        </w:rPr>
        <w:t xml:space="preserve">if able, </w:t>
      </w:r>
      <w:r w:rsidRPr="001B332B">
        <w:rPr>
          <w:sz w:val="20"/>
        </w:rPr>
        <w:t>will need to delay their retirement</w:t>
      </w:r>
      <w:r w:rsidR="009F1F15" w:rsidRPr="001B332B">
        <w:rPr>
          <w:sz w:val="20"/>
        </w:rPr>
        <w:t xml:space="preserve"> and work</w:t>
      </w:r>
      <w:r w:rsidRPr="001B332B">
        <w:rPr>
          <w:sz w:val="20"/>
        </w:rPr>
        <w:t xml:space="preserve"> even </w:t>
      </w:r>
      <w:r w:rsidR="00EC7FA4" w:rsidRPr="001B332B">
        <w:rPr>
          <w:sz w:val="20"/>
        </w:rPr>
        <w:t xml:space="preserve">longer than </w:t>
      </w:r>
      <w:r w:rsidRPr="001B332B">
        <w:rPr>
          <w:sz w:val="20"/>
        </w:rPr>
        <w:t>the new age pension eligibility age of 67 years.</w:t>
      </w:r>
      <w:r w:rsidR="004B024A">
        <w:rPr>
          <w:sz w:val="20"/>
        </w:rPr>
        <w:t>”</w:t>
      </w:r>
      <w:r w:rsidR="009F1F15" w:rsidRPr="001B332B">
        <w:rPr>
          <w:sz w:val="20"/>
        </w:rPr>
        <w:t xml:space="preserve"> </w:t>
      </w:r>
    </w:p>
    <w:p w:rsidR="009F1F15" w:rsidRPr="001B332B" w:rsidRDefault="009F1F15" w:rsidP="001B332B">
      <w:pPr>
        <w:pStyle w:val="Body"/>
        <w:rPr>
          <w:sz w:val="20"/>
        </w:rPr>
      </w:pPr>
    </w:p>
    <w:p w:rsidR="009F1F15" w:rsidRPr="001B332B" w:rsidRDefault="008A7B22" w:rsidP="001B332B">
      <w:pPr>
        <w:pStyle w:val="Body"/>
        <w:rPr>
          <w:sz w:val="20"/>
        </w:rPr>
      </w:pPr>
      <w:r w:rsidRPr="001B332B">
        <w:rPr>
          <w:sz w:val="20"/>
        </w:rPr>
        <w:t>Mason added: “</w:t>
      </w:r>
      <w:r w:rsidR="001158C5" w:rsidRPr="001B332B">
        <w:rPr>
          <w:sz w:val="20"/>
        </w:rPr>
        <w:t>As with o</w:t>
      </w:r>
      <w:r w:rsidR="00961BFE" w:rsidRPr="001B332B">
        <w:rPr>
          <w:sz w:val="20"/>
        </w:rPr>
        <w:t xml:space="preserve">ur Deloitte Access Economics research </w:t>
      </w:r>
      <w:r w:rsidR="00D84D0F" w:rsidRPr="001B332B">
        <w:rPr>
          <w:sz w:val="20"/>
        </w:rPr>
        <w:t>(</w:t>
      </w:r>
      <w:r w:rsidR="001158C5" w:rsidRPr="001B332B">
        <w:rPr>
          <w:sz w:val="20"/>
        </w:rPr>
        <w:t xml:space="preserve">see </w:t>
      </w:r>
      <w:hyperlink r:id="rId11" w:history="1">
        <w:r w:rsidR="00D84D0F" w:rsidRPr="001B332B">
          <w:rPr>
            <w:rStyle w:val="Hyperlink"/>
            <w:sz w:val="20"/>
          </w:rPr>
          <w:t xml:space="preserve">Mythbusting </w:t>
        </w:r>
        <w:r w:rsidR="004262DC" w:rsidRPr="001B332B">
          <w:rPr>
            <w:rStyle w:val="Hyperlink"/>
            <w:sz w:val="20"/>
          </w:rPr>
          <w:t>Tax reform #2</w:t>
        </w:r>
      </w:hyperlink>
      <w:r w:rsidR="00D84D0F" w:rsidRPr="001B332B">
        <w:rPr>
          <w:sz w:val="20"/>
        </w:rPr>
        <w:t xml:space="preserve">) </w:t>
      </w:r>
      <w:r w:rsidR="00961BFE" w:rsidRPr="001B332B">
        <w:rPr>
          <w:sz w:val="20"/>
        </w:rPr>
        <w:t>w</w:t>
      </w:r>
      <w:r w:rsidR="00D84D0F" w:rsidRPr="001B332B">
        <w:rPr>
          <w:sz w:val="20"/>
        </w:rPr>
        <w:t>e</w:t>
      </w:r>
      <w:r w:rsidR="00961BFE" w:rsidRPr="001B332B">
        <w:rPr>
          <w:sz w:val="20"/>
        </w:rPr>
        <w:t xml:space="preserve"> </w:t>
      </w:r>
      <w:r w:rsidR="009F1F15" w:rsidRPr="001B332B">
        <w:rPr>
          <w:sz w:val="20"/>
        </w:rPr>
        <w:t xml:space="preserve">also </w:t>
      </w:r>
      <w:r w:rsidR="00961BFE" w:rsidRPr="001B332B">
        <w:rPr>
          <w:sz w:val="20"/>
        </w:rPr>
        <w:t xml:space="preserve">recommend the Government </w:t>
      </w:r>
      <w:r w:rsidR="004262DC" w:rsidRPr="001B332B">
        <w:rPr>
          <w:sz w:val="20"/>
        </w:rPr>
        <w:t xml:space="preserve">consider taxing contributions at the top marginal rate less 15%, hence cutting contribution tax for lowest income earners to </w:t>
      </w:r>
      <w:r w:rsidR="002921C7">
        <w:rPr>
          <w:sz w:val="20"/>
        </w:rPr>
        <w:t>a rebate overall</w:t>
      </w:r>
      <w:r w:rsidR="004262DC" w:rsidRPr="001B332B">
        <w:rPr>
          <w:sz w:val="20"/>
        </w:rPr>
        <w:t xml:space="preserve"> and doubling tax to 34% for those earning between $180k and $300k. </w:t>
      </w:r>
      <w:r w:rsidR="009F1F15" w:rsidRPr="001B332B">
        <w:rPr>
          <w:sz w:val="20"/>
        </w:rPr>
        <w:t>According to the research t</w:t>
      </w:r>
      <w:r w:rsidR="004262DC" w:rsidRPr="001B332B">
        <w:rPr>
          <w:sz w:val="20"/>
        </w:rPr>
        <w:t xml:space="preserve">his would raise $6 billion in </w:t>
      </w:r>
      <w:r w:rsidR="009F1F15" w:rsidRPr="001B332B">
        <w:rPr>
          <w:sz w:val="20"/>
        </w:rPr>
        <w:t xml:space="preserve">the </w:t>
      </w:r>
      <w:r w:rsidR="004262DC" w:rsidRPr="001B332B">
        <w:rPr>
          <w:sz w:val="20"/>
        </w:rPr>
        <w:t xml:space="preserve">2016-17 fiscal </w:t>
      </w:r>
      <w:proofErr w:type="gramStart"/>
      <w:r w:rsidR="004262DC" w:rsidRPr="001B332B">
        <w:rPr>
          <w:sz w:val="20"/>
        </w:rPr>
        <w:t>year</w:t>
      </w:r>
      <w:proofErr w:type="gramEnd"/>
      <w:r w:rsidR="004262DC" w:rsidRPr="001B332B">
        <w:rPr>
          <w:sz w:val="20"/>
        </w:rPr>
        <w:t xml:space="preserve">. </w:t>
      </w:r>
    </w:p>
    <w:p w:rsidR="009F1F15" w:rsidRPr="001B332B" w:rsidRDefault="009F1F15" w:rsidP="001B332B">
      <w:pPr>
        <w:pStyle w:val="Body"/>
        <w:rPr>
          <w:sz w:val="20"/>
        </w:rPr>
      </w:pPr>
    </w:p>
    <w:p w:rsidR="00496307" w:rsidRPr="001B332B" w:rsidRDefault="009F1F15" w:rsidP="001B332B">
      <w:pPr>
        <w:pStyle w:val="Body"/>
        <w:rPr>
          <w:sz w:val="20"/>
        </w:rPr>
      </w:pPr>
      <w:r w:rsidRPr="001B332B">
        <w:rPr>
          <w:sz w:val="20"/>
        </w:rPr>
        <w:t>“</w:t>
      </w:r>
      <w:r w:rsidR="004262DC" w:rsidRPr="001B332B">
        <w:rPr>
          <w:sz w:val="20"/>
        </w:rPr>
        <w:t xml:space="preserve">By </w:t>
      </w:r>
      <w:r w:rsidR="00D84D0F" w:rsidRPr="001B332B">
        <w:rPr>
          <w:sz w:val="20"/>
        </w:rPr>
        <w:t>revisit</w:t>
      </w:r>
      <w:r w:rsidR="004262DC" w:rsidRPr="001B332B">
        <w:rPr>
          <w:sz w:val="20"/>
        </w:rPr>
        <w:t>ing</w:t>
      </w:r>
      <w:r w:rsidR="00D84D0F" w:rsidRPr="001B332B">
        <w:rPr>
          <w:sz w:val="20"/>
        </w:rPr>
        <w:t xml:space="preserve"> </w:t>
      </w:r>
      <w:r w:rsidR="00961BFE" w:rsidRPr="001B332B">
        <w:rPr>
          <w:sz w:val="20"/>
        </w:rPr>
        <w:t xml:space="preserve">incentives via the tax system </w:t>
      </w:r>
      <w:r w:rsidR="004262DC" w:rsidRPr="001B332B">
        <w:rPr>
          <w:sz w:val="20"/>
        </w:rPr>
        <w:t xml:space="preserve">we want </w:t>
      </w:r>
      <w:r w:rsidR="00961BFE" w:rsidRPr="001B332B">
        <w:rPr>
          <w:sz w:val="20"/>
        </w:rPr>
        <w:t xml:space="preserve">to encourage retirees to draw-down their superannuation as annuities, account-based pensions or other types of products </w:t>
      </w:r>
      <w:r w:rsidR="00D84D0F" w:rsidRPr="001B332B">
        <w:rPr>
          <w:sz w:val="20"/>
        </w:rPr>
        <w:t>to</w:t>
      </w:r>
      <w:r w:rsidR="00961BFE" w:rsidRPr="001B332B">
        <w:rPr>
          <w:sz w:val="20"/>
        </w:rPr>
        <w:t xml:space="preserve"> provide a stable income during retirement</w:t>
      </w:r>
      <w:r w:rsidR="00D84D0F" w:rsidRPr="001B332B">
        <w:rPr>
          <w:sz w:val="20"/>
        </w:rPr>
        <w:t>.</w:t>
      </w:r>
      <w:r w:rsidR="001158C5" w:rsidRPr="001B332B">
        <w:rPr>
          <w:sz w:val="20"/>
        </w:rPr>
        <w:t xml:space="preserve"> </w:t>
      </w:r>
      <w:r w:rsidR="00D84D0F" w:rsidRPr="001B332B">
        <w:rPr>
          <w:sz w:val="20"/>
        </w:rPr>
        <w:t>We also vigorously s</w:t>
      </w:r>
      <w:r w:rsidR="00496307" w:rsidRPr="001B332B">
        <w:rPr>
          <w:sz w:val="20"/>
        </w:rPr>
        <w:t>upport continuing advancements in education and advice</w:t>
      </w:r>
      <w:r w:rsidR="00D84D0F" w:rsidRPr="001B332B">
        <w:rPr>
          <w:sz w:val="20"/>
        </w:rPr>
        <w:t xml:space="preserve"> (see our Advice Based World research released earlier this year).</w:t>
      </w:r>
      <w:r w:rsidR="004B024A">
        <w:rPr>
          <w:sz w:val="20"/>
        </w:rPr>
        <w:t>”</w:t>
      </w:r>
    </w:p>
    <w:p w:rsidR="00496307" w:rsidRPr="001B332B" w:rsidRDefault="00496307" w:rsidP="001B332B">
      <w:pPr>
        <w:pStyle w:val="Body"/>
        <w:rPr>
          <w:b/>
          <w:sz w:val="20"/>
        </w:rPr>
      </w:pPr>
    </w:p>
    <w:p w:rsidR="001158C5" w:rsidRPr="001B332B" w:rsidRDefault="001158C5" w:rsidP="001B332B">
      <w:pPr>
        <w:pStyle w:val="Body"/>
        <w:rPr>
          <w:rFonts w:eastAsiaTheme="majorEastAsia"/>
          <w:b/>
          <w:color w:val="000000"/>
          <w:szCs w:val="22"/>
        </w:rPr>
      </w:pPr>
      <w:r w:rsidRPr="001B332B">
        <w:rPr>
          <w:rFonts w:eastAsiaTheme="majorEastAsia"/>
          <w:b/>
          <w:color w:val="000000"/>
          <w:szCs w:val="22"/>
        </w:rPr>
        <w:t>Investment returns</w:t>
      </w:r>
    </w:p>
    <w:p w:rsidR="00E22D3D" w:rsidRPr="001B332B" w:rsidRDefault="001158C5" w:rsidP="001B332B">
      <w:pPr>
        <w:pStyle w:val="Body"/>
        <w:rPr>
          <w:sz w:val="20"/>
        </w:rPr>
      </w:pPr>
      <w:r w:rsidRPr="001B332B">
        <w:rPr>
          <w:sz w:val="20"/>
        </w:rPr>
        <w:t xml:space="preserve">The report shows that investment returns on superannuation assets remain a significant contributor to the growth of the superannuation industry. </w:t>
      </w:r>
      <w:r w:rsidR="00ED1264">
        <w:rPr>
          <w:sz w:val="20"/>
        </w:rPr>
        <w:t xml:space="preserve">Facer </w:t>
      </w:r>
      <w:r w:rsidRPr="001B332B">
        <w:rPr>
          <w:sz w:val="20"/>
        </w:rPr>
        <w:t>said: “In the past three years there has been a return to the trend for net investment income to at least equal total net superannuation contributions.</w:t>
      </w:r>
      <w:r w:rsidR="004B024A">
        <w:rPr>
          <w:sz w:val="20"/>
        </w:rPr>
        <w:t xml:space="preserve"> </w:t>
      </w:r>
      <w:r w:rsidR="004B024A" w:rsidRPr="001B332B">
        <w:rPr>
          <w:sz w:val="20"/>
        </w:rPr>
        <w:t>However, we do project a plateauing of net cashflows from around 2030, and possibly the hint of a drop at the tail end of the projection period.</w:t>
      </w:r>
      <w:r w:rsidRPr="001B332B">
        <w:rPr>
          <w:sz w:val="20"/>
        </w:rPr>
        <w:t>”</w:t>
      </w:r>
    </w:p>
    <w:p w:rsidR="001158C5" w:rsidRPr="001B332B" w:rsidRDefault="001158C5" w:rsidP="001B332B">
      <w:pPr>
        <w:pStyle w:val="Body"/>
        <w:rPr>
          <w:rFonts w:eastAsiaTheme="majorEastAsia"/>
          <w:color w:val="000000"/>
          <w:sz w:val="20"/>
        </w:rPr>
      </w:pPr>
    </w:p>
    <w:p w:rsidR="001158C5" w:rsidRPr="001B332B" w:rsidRDefault="001158C5" w:rsidP="001158C5">
      <w:pPr>
        <w:pStyle w:val="Body"/>
        <w:rPr>
          <w:rFonts w:eastAsiaTheme="majorEastAsia"/>
          <w:b/>
          <w:color w:val="000000"/>
          <w:szCs w:val="22"/>
        </w:rPr>
      </w:pPr>
      <w:r w:rsidRPr="001B332B">
        <w:rPr>
          <w:rFonts w:eastAsiaTheme="majorEastAsia"/>
          <w:b/>
          <w:color w:val="000000"/>
          <w:szCs w:val="22"/>
        </w:rPr>
        <w:t>The system is still maturing</w:t>
      </w:r>
    </w:p>
    <w:p w:rsidR="00E22D3D" w:rsidRDefault="00E22D3D" w:rsidP="00E118F9">
      <w:pPr>
        <w:pStyle w:val="Body"/>
        <w:rPr>
          <w:b/>
        </w:rPr>
      </w:pPr>
    </w:p>
    <w:p w:rsidR="008A7B22" w:rsidRDefault="008A7B22" w:rsidP="001B332B">
      <w:pPr>
        <w:pStyle w:val="Body"/>
        <w:jc w:val="center"/>
      </w:pPr>
      <w:r w:rsidRPr="008A7B22">
        <w:rPr>
          <w:noProof/>
          <w:lang w:eastAsia="en-AU"/>
        </w:rPr>
        <w:drawing>
          <wp:inline distT="0" distB="0" distL="0" distR="0" wp14:anchorId="25072AC3" wp14:editId="1F004CAA">
            <wp:extent cx="4967785" cy="2991289"/>
            <wp:effectExtent l="0" t="0" r="444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1468" cy="2999528"/>
                    </a:xfrm>
                    <a:prstGeom prst="rect">
                      <a:avLst/>
                    </a:prstGeom>
                  </pic:spPr>
                </pic:pic>
              </a:graphicData>
            </a:graphic>
          </wp:inline>
        </w:drawing>
      </w:r>
    </w:p>
    <w:p w:rsidR="008A7B22" w:rsidRDefault="008A7B22" w:rsidP="00CD15A5">
      <w:pPr>
        <w:pStyle w:val="Body"/>
      </w:pPr>
    </w:p>
    <w:p w:rsidR="009B07A8" w:rsidRDefault="00ED1264" w:rsidP="00CD15A5">
      <w:pPr>
        <w:pStyle w:val="Body"/>
        <w:rPr>
          <w:sz w:val="20"/>
        </w:rPr>
      </w:pPr>
      <w:r>
        <w:rPr>
          <w:sz w:val="20"/>
        </w:rPr>
        <w:t>Facer</w:t>
      </w:r>
      <w:r w:rsidR="00635B67" w:rsidRPr="001B332B">
        <w:rPr>
          <w:sz w:val="20"/>
        </w:rPr>
        <w:t xml:space="preserve"> said:</w:t>
      </w:r>
      <w:r w:rsidR="00CE20D9" w:rsidRPr="001B332B">
        <w:rPr>
          <w:sz w:val="20"/>
        </w:rPr>
        <w:t xml:space="preserve"> “</w:t>
      </w:r>
      <w:r w:rsidR="004262DC" w:rsidRPr="001B332B">
        <w:rPr>
          <w:sz w:val="20"/>
        </w:rPr>
        <w:t>It is important that members do not invest too conservatively in the early to middle years of their working lives, so they can maximise the impact of investment returns compounding up to and into retirement. Given that superannuation is preserved for retirement, these members will be able to withstand the short-term volatility inherent in growth-oriented portfolios and achieve a higher long-term average return overall</w:t>
      </w:r>
      <w:r w:rsidR="00E118F9" w:rsidRPr="001B332B">
        <w:rPr>
          <w:sz w:val="20"/>
        </w:rPr>
        <w:t>.</w:t>
      </w:r>
      <w:r w:rsidR="009E2650" w:rsidRPr="001B332B">
        <w:rPr>
          <w:sz w:val="20"/>
        </w:rPr>
        <w:t xml:space="preserve"> </w:t>
      </w:r>
    </w:p>
    <w:p w:rsidR="00ED1264" w:rsidRPr="001B332B" w:rsidRDefault="00ED1264" w:rsidP="00CD15A5">
      <w:pPr>
        <w:pStyle w:val="Body"/>
        <w:rPr>
          <w:sz w:val="20"/>
        </w:rPr>
      </w:pPr>
    </w:p>
    <w:p w:rsidR="004262DC" w:rsidRPr="001B332B" w:rsidRDefault="004262DC" w:rsidP="004262DC">
      <w:pPr>
        <w:pStyle w:val="Body"/>
        <w:rPr>
          <w:sz w:val="20"/>
        </w:rPr>
      </w:pPr>
      <w:r w:rsidRPr="001B332B">
        <w:rPr>
          <w:sz w:val="20"/>
        </w:rPr>
        <w:t>“As total superannuation assets continue to grow larger, relative to the size of the Australian economy, this will increase pressure on the investment capacity of funds and will drive increased investments in alternative assets and across all asset classes in overseas markets</w:t>
      </w:r>
      <w:r w:rsidR="00463E5A" w:rsidRPr="001B332B">
        <w:rPr>
          <w:sz w:val="20"/>
        </w:rPr>
        <w:t xml:space="preserve">. This puts </w:t>
      </w:r>
      <w:r w:rsidRPr="001B332B">
        <w:rPr>
          <w:sz w:val="20"/>
        </w:rPr>
        <w:t xml:space="preserve">a renewed focus on the Asia Funds passport arrangements </w:t>
      </w:r>
      <w:r w:rsidR="00463E5A" w:rsidRPr="001B332B">
        <w:rPr>
          <w:sz w:val="20"/>
        </w:rPr>
        <w:t>for</w:t>
      </w:r>
      <w:r w:rsidRPr="001B332B">
        <w:rPr>
          <w:sz w:val="20"/>
        </w:rPr>
        <w:t xml:space="preserve"> our region.”</w:t>
      </w:r>
    </w:p>
    <w:p w:rsidR="009E2650" w:rsidRPr="001B332B" w:rsidRDefault="009E2650" w:rsidP="004262DC">
      <w:pPr>
        <w:pStyle w:val="Body"/>
        <w:rPr>
          <w:sz w:val="20"/>
        </w:rPr>
      </w:pPr>
    </w:p>
    <w:p w:rsidR="002B41CA" w:rsidRPr="001B332B" w:rsidRDefault="002B41CA" w:rsidP="008C4AD1">
      <w:pPr>
        <w:pStyle w:val="Body"/>
        <w:rPr>
          <w:rFonts w:eastAsiaTheme="majorEastAsia"/>
          <w:b/>
          <w:color w:val="000000"/>
          <w:szCs w:val="22"/>
        </w:rPr>
      </w:pPr>
      <w:r w:rsidRPr="001B332B">
        <w:rPr>
          <w:rFonts w:eastAsiaTheme="majorEastAsia"/>
          <w:b/>
          <w:color w:val="000000"/>
          <w:szCs w:val="22"/>
        </w:rPr>
        <w:t>Sector growth: superannuation assets by market segment</w:t>
      </w:r>
      <w:r w:rsidR="00D124DE" w:rsidRPr="001B332B">
        <w:rPr>
          <w:rFonts w:eastAsiaTheme="majorEastAsia"/>
          <w:b/>
          <w:color w:val="000000"/>
          <w:szCs w:val="22"/>
        </w:rPr>
        <w:t xml:space="preserve"> </w:t>
      </w:r>
      <w:r w:rsidR="00A35F83" w:rsidRPr="001B332B">
        <w:rPr>
          <w:rFonts w:eastAsiaTheme="majorEastAsia"/>
          <w:b/>
          <w:color w:val="000000"/>
          <w:szCs w:val="22"/>
        </w:rPr>
        <w:t>2015-2035</w:t>
      </w:r>
    </w:p>
    <w:p w:rsidR="00A35F83" w:rsidRPr="00D124DE" w:rsidRDefault="00A35F83" w:rsidP="008C4AD1">
      <w:pPr>
        <w:pStyle w:val="Body"/>
        <w:rPr>
          <w:rFonts w:eastAsiaTheme="majorEastAsia"/>
          <w:b/>
          <w:color w:val="000000"/>
          <w:sz w:val="24"/>
          <w:szCs w:val="24"/>
        </w:rPr>
      </w:pPr>
    </w:p>
    <w:p w:rsidR="00D124DE" w:rsidRDefault="00A35F83" w:rsidP="001B332B">
      <w:pPr>
        <w:pStyle w:val="Body"/>
        <w:jc w:val="center"/>
      </w:pPr>
      <w:r w:rsidRPr="00D124DE">
        <w:rPr>
          <w:noProof/>
          <w:lang w:eastAsia="en-AU"/>
        </w:rPr>
        <w:drawing>
          <wp:inline distT="0" distB="0" distL="0" distR="0" wp14:anchorId="7B7F55E7" wp14:editId="5F0F8BA2">
            <wp:extent cx="4722125" cy="2875654"/>
            <wp:effectExtent l="0" t="0" r="254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31518" cy="2881374"/>
                    </a:xfrm>
                    <a:prstGeom prst="rect">
                      <a:avLst/>
                    </a:prstGeom>
                  </pic:spPr>
                </pic:pic>
              </a:graphicData>
            </a:graphic>
          </wp:inline>
        </w:drawing>
      </w:r>
    </w:p>
    <w:p w:rsidR="00A35F83" w:rsidRDefault="00A35F83" w:rsidP="008C4AD1">
      <w:pPr>
        <w:pStyle w:val="Body"/>
      </w:pPr>
    </w:p>
    <w:p w:rsidR="00A35F83" w:rsidRPr="001B332B" w:rsidRDefault="00ED1264" w:rsidP="00A35F83">
      <w:pPr>
        <w:pStyle w:val="Body"/>
        <w:rPr>
          <w:sz w:val="20"/>
        </w:rPr>
      </w:pPr>
      <w:r>
        <w:rPr>
          <w:sz w:val="20"/>
        </w:rPr>
        <w:t>The research compile</w:t>
      </w:r>
      <w:r w:rsidR="00A35F83" w:rsidRPr="001B332B">
        <w:rPr>
          <w:sz w:val="20"/>
        </w:rPr>
        <w:t>d the movement of total assets in each segment from 1997 to 2015 from APRA data and then used the Deloitte Super Model to project movement from 2015 to 2035. Some highlights from these projections</w:t>
      </w:r>
      <w:r w:rsidR="006115CF" w:rsidRPr="00500560">
        <w:rPr>
          <w:sz w:val="20"/>
          <w:vertAlign w:val="superscript"/>
        </w:rPr>
        <w:footnoteReference w:id="1"/>
      </w:r>
      <w:r w:rsidR="00A35F83" w:rsidRPr="001B332B">
        <w:rPr>
          <w:sz w:val="20"/>
        </w:rPr>
        <w:t xml:space="preserve"> include:</w:t>
      </w:r>
    </w:p>
    <w:p w:rsidR="00A35F83" w:rsidRPr="001B332B" w:rsidRDefault="00A35F83" w:rsidP="00A35F83">
      <w:pPr>
        <w:pStyle w:val="Body"/>
        <w:rPr>
          <w:sz w:val="20"/>
        </w:rPr>
      </w:pPr>
    </w:p>
    <w:p w:rsidR="00D124DE" w:rsidRDefault="009E2650" w:rsidP="001B332B">
      <w:pPr>
        <w:pStyle w:val="Body"/>
        <w:numPr>
          <w:ilvl w:val="0"/>
          <w:numId w:val="12"/>
        </w:numPr>
        <w:spacing w:before="60" w:after="60"/>
        <w:ind w:left="357"/>
        <w:rPr>
          <w:sz w:val="20"/>
        </w:rPr>
      </w:pPr>
      <w:r w:rsidRPr="001B332B">
        <w:rPr>
          <w:b/>
          <w:i/>
          <w:iCs/>
          <w:sz w:val="20"/>
        </w:rPr>
        <w:t>Growth:</w:t>
      </w:r>
      <w:r w:rsidRPr="001B332B">
        <w:rPr>
          <w:i/>
          <w:iCs/>
          <w:sz w:val="20"/>
        </w:rPr>
        <w:t xml:space="preserve"> </w:t>
      </w:r>
      <w:r w:rsidRPr="001B332B">
        <w:rPr>
          <w:sz w:val="20"/>
        </w:rPr>
        <w:t>Industry funds and retail funds are expected</w:t>
      </w:r>
      <w:r w:rsidR="00D124DE" w:rsidRPr="001B332B">
        <w:rPr>
          <w:sz w:val="20"/>
        </w:rPr>
        <w:t xml:space="preserve"> </w:t>
      </w:r>
      <w:r w:rsidRPr="001B332B">
        <w:rPr>
          <w:sz w:val="20"/>
        </w:rPr>
        <w:t>to grow significantly over the next 20 years with similar</w:t>
      </w:r>
      <w:r w:rsidR="00D124DE" w:rsidRPr="001B332B">
        <w:rPr>
          <w:sz w:val="20"/>
        </w:rPr>
        <w:t xml:space="preserve"> </w:t>
      </w:r>
      <w:r w:rsidRPr="001B332B">
        <w:rPr>
          <w:sz w:val="20"/>
        </w:rPr>
        <w:t>rates of overall growth, and slightly above the rate of</w:t>
      </w:r>
      <w:r w:rsidR="00D124DE" w:rsidRPr="001B332B">
        <w:rPr>
          <w:sz w:val="20"/>
        </w:rPr>
        <w:t xml:space="preserve"> </w:t>
      </w:r>
      <w:r w:rsidRPr="001B332B">
        <w:rPr>
          <w:sz w:val="20"/>
        </w:rPr>
        <w:t xml:space="preserve">growth of </w:t>
      </w:r>
      <w:r w:rsidR="002921C7" w:rsidRPr="001B332B">
        <w:rPr>
          <w:sz w:val="20"/>
        </w:rPr>
        <w:t>Self-Managed Superannuation Funds (</w:t>
      </w:r>
      <w:r w:rsidRPr="001B332B">
        <w:rPr>
          <w:sz w:val="20"/>
        </w:rPr>
        <w:t>SMSFs</w:t>
      </w:r>
      <w:r w:rsidR="002921C7">
        <w:rPr>
          <w:sz w:val="20"/>
        </w:rPr>
        <w:t>)</w:t>
      </w:r>
      <w:r w:rsidRPr="001B332B">
        <w:rPr>
          <w:sz w:val="20"/>
        </w:rPr>
        <w:t xml:space="preserve">. </w:t>
      </w:r>
    </w:p>
    <w:p w:rsidR="009E2650" w:rsidRDefault="009E2650" w:rsidP="001B332B">
      <w:pPr>
        <w:pStyle w:val="Body"/>
        <w:numPr>
          <w:ilvl w:val="0"/>
          <w:numId w:val="12"/>
        </w:numPr>
        <w:spacing w:before="60" w:after="60"/>
        <w:ind w:left="357"/>
        <w:rPr>
          <w:sz w:val="20"/>
        </w:rPr>
      </w:pPr>
      <w:r w:rsidRPr="001B332B">
        <w:rPr>
          <w:b/>
          <w:i/>
          <w:iCs/>
          <w:sz w:val="20"/>
        </w:rPr>
        <w:t>Retail largest overall:</w:t>
      </w:r>
      <w:r w:rsidRPr="001B332B">
        <w:rPr>
          <w:i/>
          <w:iCs/>
          <w:sz w:val="20"/>
        </w:rPr>
        <w:t xml:space="preserve"> </w:t>
      </w:r>
      <w:r w:rsidR="00D124DE" w:rsidRPr="001B332B">
        <w:rPr>
          <w:sz w:val="20"/>
        </w:rPr>
        <w:t>T</w:t>
      </w:r>
      <w:r w:rsidRPr="001B332B">
        <w:rPr>
          <w:sz w:val="20"/>
        </w:rPr>
        <w:t>he</w:t>
      </w:r>
      <w:r w:rsidR="00D124DE" w:rsidRPr="001B332B">
        <w:rPr>
          <w:sz w:val="20"/>
        </w:rPr>
        <w:t xml:space="preserve"> </w:t>
      </w:r>
      <w:r w:rsidRPr="001B332B">
        <w:rPr>
          <w:sz w:val="20"/>
        </w:rPr>
        <w:t>total retail fund sector (a combination of retail</w:t>
      </w:r>
      <w:r w:rsidR="00D124DE" w:rsidRPr="001B332B">
        <w:rPr>
          <w:sz w:val="20"/>
        </w:rPr>
        <w:t xml:space="preserve"> </w:t>
      </w:r>
      <w:r w:rsidRPr="001B332B">
        <w:rPr>
          <w:sz w:val="20"/>
        </w:rPr>
        <w:t>employer sponsored and retail personal) will take over</w:t>
      </w:r>
      <w:r w:rsidR="00D124DE" w:rsidRPr="001B332B">
        <w:rPr>
          <w:sz w:val="20"/>
        </w:rPr>
        <w:t xml:space="preserve"> </w:t>
      </w:r>
      <w:r w:rsidRPr="001B332B">
        <w:rPr>
          <w:sz w:val="20"/>
        </w:rPr>
        <w:t>from SMSFs as the largest market segment in 2028 and</w:t>
      </w:r>
      <w:r w:rsidR="00D124DE" w:rsidRPr="001B332B">
        <w:rPr>
          <w:sz w:val="20"/>
        </w:rPr>
        <w:t xml:space="preserve"> </w:t>
      </w:r>
      <w:r w:rsidRPr="001B332B">
        <w:rPr>
          <w:sz w:val="20"/>
        </w:rPr>
        <w:t>reac</w:t>
      </w:r>
      <w:r w:rsidR="001B332B">
        <w:rPr>
          <w:sz w:val="20"/>
        </w:rPr>
        <w:t>h $3 trillion in assets in 2034.</w:t>
      </w:r>
    </w:p>
    <w:p w:rsidR="00A35F83" w:rsidRDefault="009E2650" w:rsidP="001B332B">
      <w:pPr>
        <w:pStyle w:val="Body"/>
        <w:numPr>
          <w:ilvl w:val="0"/>
          <w:numId w:val="12"/>
        </w:numPr>
        <w:spacing w:before="60" w:after="60"/>
        <w:ind w:left="357"/>
        <w:rPr>
          <w:sz w:val="20"/>
        </w:rPr>
      </w:pPr>
      <w:r w:rsidRPr="001B332B">
        <w:rPr>
          <w:b/>
          <w:i/>
          <w:iCs/>
          <w:sz w:val="20"/>
        </w:rPr>
        <w:t>SMSFs – post retirement bulge:</w:t>
      </w:r>
      <w:r w:rsidRPr="001B332B">
        <w:rPr>
          <w:i/>
          <w:iCs/>
          <w:sz w:val="20"/>
        </w:rPr>
        <w:t xml:space="preserve"> </w:t>
      </w:r>
      <w:r w:rsidR="00D124DE" w:rsidRPr="001B332B">
        <w:rPr>
          <w:sz w:val="20"/>
        </w:rPr>
        <w:t>S</w:t>
      </w:r>
      <w:r w:rsidRPr="001B332B">
        <w:rPr>
          <w:sz w:val="20"/>
        </w:rPr>
        <w:t>MSFs</w:t>
      </w:r>
      <w:r w:rsidR="00D124DE" w:rsidRPr="001B332B">
        <w:rPr>
          <w:sz w:val="20"/>
        </w:rPr>
        <w:t xml:space="preserve"> </w:t>
      </w:r>
      <w:r w:rsidRPr="001B332B">
        <w:rPr>
          <w:sz w:val="20"/>
        </w:rPr>
        <w:t>are still expected to be the largest sector by far in the</w:t>
      </w:r>
      <w:r w:rsidR="00D124DE" w:rsidRPr="001B332B">
        <w:rPr>
          <w:sz w:val="20"/>
        </w:rPr>
        <w:t xml:space="preserve"> </w:t>
      </w:r>
      <w:r w:rsidRPr="001B332B">
        <w:rPr>
          <w:sz w:val="20"/>
        </w:rPr>
        <w:t>post-retirement superannuation market, reaching $900bn in 2035, and eclipsing the retail segment in 2018.</w:t>
      </w:r>
    </w:p>
    <w:p w:rsidR="001B332B" w:rsidRDefault="00A35F83" w:rsidP="001B332B">
      <w:pPr>
        <w:pStyle w:val="Body"/>
        <w:numPr>
          <w:ilvl w:val="0"/>
          <w:numId w:val="12"/>
        </w:numPr>
        <w:spacing w:before="60" w:after="60"/>
        <w:ind w:left="357"/>
        <w:rPr>
          <w:sz w:val="20"/>
        </w:rPr>
      </w:pPr>
      <w:r w:rsidRPr="001B332B">
        <w:rPr>
          <w:b/>
          <w:i/>
          <w:iCs/>
          <w:sz w:val="20"/>
        </w:rPr>
        <w:t>Industry and retail funds:</w:t>
      </w:r>
      <w:r w:rsidRPr="001B332B">
        <w:rPr>
          <w:i/>
          <w:iCs/>
          <w:sz w:val="20"/>
        </w:rPr>
        <w:t xml:space="preserve"> </w:t>
      </w:r>
      <w:r w:rsidRPr="001B332B">
        <w:rPr>
          <w:sz w:val="20"/>
        </w:rPr>
        <w:t xml:space="preserve">It is not yet clear how successful industry funds and the large wealth management businesses will be in curtailing the rapid growth in post-retirement assets for SMSFs. </w:t>
      </w:r>
    </w:p>
    <w:p w:rsidR="00A35F83" w:rsidRDefault="002E545B" w:rsidP="001B332B">
      <w:pPr>
        <w:pStyle w:val="Body"/>
        <w:spacing w:before="60" w:after="60"/>
        <w:ind w:left="357"/>
        <w:rPr>
          <w:sz w:val="20"/>
        </w:rPr>
      </w:pPr>
      <w:r>
        <w:rPr>
          <w:sz w:val="20"/>
        </w:rPr>
        <w:t>Facer</w:t>
      </w:r>
      <w:r w:rsidR="00A35F83" w:rsidRPr="001B332B">
        <w:rPr>
          <w:sz w:val="20"/>
        </w:rPr>
        <w:t xml:space="preserve"> said: “There is considerable scope for funds to capitalise on the opportunity to develop new initiatives to capture a greater share of that market, such as providing members with more individual flexibility. Those that do this well will be most successful in retaining and growing their market share.</w:t>
      </w:r>
      <w:r w:rsidR="001B332B">
        <w:rPr>
          <w:sz w:val="20"/>
        </w:rPr>
        <w:t>”</w:t>
      </w:r>
    </w:p>
    <w:p w:rsidR="00A35F83" w:rsidRPr="001B332B" w:rsidRDefault="00A35F83" w:rsidP="001B332B">
      <w:pPr>
        <w:pStyle w:val="Body"/>
        <w:numPr>
          <w:ilvl w:val="0"/>
          <w:numId w:val="12"/>
        </w:numPr>
        <w:spacing w:before="60" w:after="60"/>
        <w:ind w:left="357"/>
        <w:rPr>
          <w:sz w:val="20"/>
        </w:rPr>
      </w:pPr>
      <w:r w:rsidRPr="001B332B">
        <w:rPr>
          <w:b/>
          <w:i/>
          <w:iCs/>
          <w:sz w:val="20"/>
        </w:rPr>
        <w:t>Public sector:</w:t>
      </w:r>
      <w:r w:rsidRPr="001B332B">
        <w:rPr>
          <w:i/>
          <w:iCs/>
          <w:sz w:val="20"/>
        </w:rPr>
        <w:t xml:space="preserve"> </w:t>
      </w:r>
      <w:r w:rsidRPr="001B332B">
        <w:rPr>
          <w:sz w:val="20"/>
        </w:rPr>
        <w:t>Public sector funds are expected to continue to grow at a reasonable rate over the period, while the corporate segment will continue to slowly decline.</w:t>
      </w:r>
    </w:p>
    <w:p w:rsidR="001B332B" w:rsidRDefault="001B332B" w:rsidP="006115CF">
      <w:pPr>
        <w:autoSpaceDE w:val="0"/>
        <w:autoSpaceDN w:val="0"/>
        <w:adjustRightInd w:val="0"/>
        <w:spacing w:line="240" w:lineRule="auto"/>
        <w:rPr>
          <w:rFonts w:ascii="Times New Roman" w:hAnsi="Times New Roman" w:cs="Times New Roman"/>
          <w:iCs/>
          <w:sz w:val="20"/>
          <w:szCs w:val="20"/>
        </w:rPr>
      </w:pPr>
    </w:p>
    <w:p w:rsidR="006115CF" w:rsidRPr="001B332B" w:rsidRDefault="00ED1264" w:rsidP="006115C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iCs/>
          <w:sz w:val="20"/>
          <w:szCs w:val="20"/>
        </w:rPr>
        <w:t>Facer</w:t>
      </w:r>
      <w:r w:rsidR="006115CF" w:rsidRPr="001B332B">
        <w:rPr>
          <w:rFonts w:ascii="Times New Roman" w:hAnsi="Times New Roman" w:cs="Times New Roman"/>
          <w:iCs/>
          <w:sz w:val="20"/>
          <w:szCs w:val="20"/>
        </w:rPr>
        <w:t xml:space="preserve"> said: “</w:t>
      </w:r>
      <w:r w:rsidR="006115CF" w:rsidRPr="001B332B">
        <w:rPr>
          <w:rFonts w:ascii="Times New Roman" w:hAnsi="Times New Roman" w:cs="Times New Roman"/>
          <w:sz w:val="20"/>
          <w:szCs w:val="20"/>
        </w:rPr>
        <w:t xml:space="preserve">Although industry funds will become the largest pre-retirement sector by around 2025, Retail Personal will also continue to grow strongly, reflecting the power of the banks and their distribution networks. If </w:t>
      </w:r>
      <w:r w:rsidR="00CE6B4C" w:rsidRPr="001B332B">
        <w:rPr>
          <w:rFonts w:ascii="Times New Roman" w:hAnsi="Times New Roman" w:cs="Times New Roman"/>
          <w:sz w:val="20"/>
          <w:szCs w:val="20"/>
        </w:rPr>
        <w:t>it</w:t>
      </w:r>
      <w:r w:rsidR="006115CF" w:rsidRPr="001B332B">
        <w:rPr>
          <w:rFonts w:ascii="Times New Roman" w:hAnsi="Times New Roman" w:cs="Times New Roman"/>
          <w:sz w:val="20"/>
          <w:szCs w:val="20"/>
        </w:rPr>
        <w:t xml:space="preserve"> stay</w:t>
      </w:r>
      <w:r w:rsidR="00CE6B4C" w:rsidRPr="001B332B">
        <w:rPr>
          <w:rFonts w:ascii="Times New Roman" w:hAnsi="Times New Roman" w:cs="Times New Roman"/>
          <w:sz w:val="20"/>
          <w:szCs w:val="20"/>
        </w:rPr>
        <w:t>s</w:t>
      </w:r>
      <w:r w:rsidR="006115CF" w:rsidRPr="001B332B">
        <w:rPr>
          <w:rFonts w:ascii="Times New Roman" w:hAnsi="Times New Roman" w:cs="Times New Roman"/>
          <w:sz w:val="20"/>
          <w:szCs w:val="20"/>
        </w:rPr>
        <w:t xml:space="preserve"> on the current trajectory, Retail Personal will become the second largest pre-retirement sector around 2033. </w:t>
      </w:r>
    </w:p>
    <w:p w:rsidR="006115CF" w:rsidRPr="001B332B" w:rsidRDefault="006115CF" w:rsidP="006115CF">
      <w:pPr>
        <w:autoSpaceDE w:val="0"/>
        <w:autoSpaceDN w:val="0"/>
        <w:adjustRightInd w:val="0"/>
        <w:spacing w:line="240" w:lineRule="auto"/>
        <w:rPr>
          <w:rFonts w:ascii="Times New Roman" w:hAnsi="Times New Roman" w:cs="Times New Roman"/>
          <w:sz w:val="20"/>
          <w:szCs w:val="20"/>
        </w:rPr>
      </w:pPr>
    </w:p>
    <w:p w:rsidR="001B332B" w:rsidRDefault="006115CF" w:rsidP="006115CF">
      <w:pPr>
        <w:autoSpaceDE w:val="0"/>
        <w:autoSpaceDN w:val="0"/>
        <w:adjustRightInd w:val="0"/>
        <w:spacing w:line="240" w:lineRule="auto"/>
        <w:rPr>
          <w:rFonts w:ascii="Times New Roman" w:hAnsi="Times New Roman" w:cs="Times New Roman"/>
          <w:sz w:val="20"/>
          <w:szCs w:val="20"/>
        </w:rPr>
      </w:pPr>
      <w:r w:rsidRPr="001B332B">
        <w:rPr>
          <w:rFonts w:ascii="Times New Roman" w:hAnsi="Times New Roman" w:cs="Times New Roman"/>
          <w:sz w:val="20"/>
          <w:szCs w:val="20"/>
        </w:rPr>
        <w:t xml:space="preserve"> “SMSFs </w:t>
      </w:r>
      <w:r w:rsidR="00CE6B4C" w:rsidRPr="001B332B">
        <w:rPr>
          <w:rFonts w:ascii="Times New Roman" w:hAnsi="Times New Roman" w:cs="Times New Roman"/>
          <w:sz w:val="20"/>
          <w:szCs w:val="20"/>
        </w:rPr>
        <w:t>are</w:t>
      </w:r>
      <w:r w:rsidRPr="001B332B">
        <w:rPr>
          <w:rFonts w:ascii="Times New Roman" w:hAnsi="Times New Roman" w:cs="Times New Roman"/>
          <w:sz w:val="20"/>
          <w:szCs w:val="20"/>
        </w:rPr>
        <w:t xml:space="preserve"> popular</w:t>
      </w:r>
      <w:r w:rsidR="00CE6B4C" w:rsidRPr="001B332B">
        <w:rPr>
          <w:rFonts w:ascii="Times New Roman" w:hAnsi="Times New Roman" w:cs="Times New Roman"/>
          <w:sz w:val="20"/>
          <w:szCs w:val="20"/>
        </w:rPr>
        <w:t>,</w:t>
      </w:r>
      <w:r w:rsidRPr="001B332B">
        <w:rPr>
          <w:rFonts w:ascii="Times New Roman" w:hAnsi="Times New Roman" w:cs="Times New Roman"/>
          <w:sz w:val="20"/>
          <w:szCs w:val="20"/>
        </w:rPr>
        <w:t xml:space="preserve"> although </w:t>
      </w:r>
      <w:r w:rsidR="005C2DB4" w:rsidRPr="001B332B">
        <w:rPr>
          <w:rFonts w:ascii="Times New Roman" w:hAnsi="Times New Roman" w:cs="Times New Roman"/>
          <w:sz w:val="20"/>
          <w:szCs w:val="20"/>
        </w:rPr>
        <w:t>less so in the</w:t>
      </w:r>
      <w:r w:rsidRPr="001B332B">
        <w:rPr>
          <w:rFonts w:ascii="Times New Roman" w:hAnsi="Times New Roman" w:cs="Times New Roman"/>
          <w:sz w:val="20"/>
          <w:szCs w:val="20"/>
        </w:rPr>
        <w:t xml:space="preserve"> pre-retirement </w:t>
      </w:r>
      <w:r w:rsidR="005C2DB4" w:rsidRPr="001B332B">
        <w:rPr>
          <w:rFonts w:ascii="Times New Roman" w:hAnsi="Times New Roman" w:cs="Times New Roman"/>
          <w:sz w:val="20"/>
          <w:szCs w:val="20"/>
        </w:rPr>
        <w:t xml:space="preserve">phase </w:t>
      </w:r>
      <w:r w:rsidRPr="001B332B">
        <w:rPr>
          <w:rFonts w:ascii="Times New Roman" w:hAnsi="Times New Roman" w:cs="Times New Roman"/>
          <w:sz w:val="20"/>
          <w:szCs w:val="20"/>
        </w:rPr>
        <w:t>than post</w:t>
      </w:r>
      <w:r w:rsidR="002921C7">
        <w:rPr>
          <w:rFonts w:ascii="Times New Roman" w:hAnsi="Times New Roman" w:cs="Times New Roman"/>
          <w:sz w:val="20"/>
          <w:szCs w:val="20"/>
        </w:rPr>
        <w:t>-retirement</w:t>
      </w:r>
      <w:r w:rsidR="00CE6B4C" w:rsidRPr="001B332B">
        <w:rPr>
          <w:rFonts w:ascii="Times New Roman" w:hAnsi="Times New Roman" w:cs="Times New Roman"/>
          <w:sz w:val="20"/>
          <w:szCs w:val="20"/>
        </w:rPr>
        <w:t>,</w:t>
      </w:r>
      <w:r w:rsidRPr="001B332B">
        <w:rPr>
          <w:rFonts w:ascii="Times New Roman" w:hAnsi="Times New Roman" w:cs="Times New Roman"/>
          <w:sz w:val="20"/>
          <w:szCs w:val="20"/>
        </w:rPr>
        <w:t xml:space="preserve"> where </w:t>
      </w:r>
      <w:r w:rsidR="005C2DB4" w:rsidRPr="001B332B">
        <w:rPr>
          <w:rFonts w:ascii="Times New Roman" w:hAnsi="Times New Roman" w:cs="Times New Roman"/>
          <w:sz w:val="20"/>
          <w:szCs w:val="20"/>
        </w:rPr>
        <w:t xml:space="preserve">they </w:t>
      </w:r>
      <w:r w:rsidRPr="001B332B">
        <w:rPr>
          <w:rFonts w:ascii="Times New Roman" w:hAnsi="Times New Roman" w:cs="Times New Roman"/>
          <w:sz w:val="20"/>
          <w:szCs w:val="20"/>
        </w:rPr>
        <w:t xml:space="preserve">dominate. </w:t>
      </w:r>
      <w:r w:rsidR="00CE6B4C" w:rsidRPr="001B332B">
        <w:rPr>
          <w:rFonts w:ascii="Times New Roman" w:hAnsi="Times New Roman" w:cs="Times New Roman"/>
          <w:sz w:val="20"/>
          <w:szCs w:val="20"/>
        </w:rPr>
        <w:t>P</w:t>
      </w:r>
      <w:r w:rsidR="005C2DB4" w:rsidRPr="001B332B">
        <w:rPr>
          <w:rFonts w:ascii="Times New Roman" w:hAnsi="Times New Roman" w:cs="Times New Roman"/>
          <w:sz w:val="20"/>
          <w:szCs w:val="20"/>
        </w:rPr>
        <w:t xml:space="preserve">eople </w:t>
      </w:r>
      <w:r w:rsidR="00CE6B4C" w:rsidRPr="001B332B">
        <w:rPr>
          <w:rFonts w:ascii="Times New Roman" w:hAnsi="Times New Roman" w:cs="Times New Roman"/>
          <w:sz w:val="20"/>
          <w:szCs w:val="20"/>
        </w:rPr>
        <w:t xml:space="preserve">are tending </w:t>
      </w:r>
      <w:r w:rsidR="005C2DB4" w:rsidRPr="001B332B">
        <w:rPr>
          <w:rFonts w:ascii="Times New Roman" w:hAnsi="Times New Roman" w:cs="Times New Roman"/>
          <w:sz w:val="20"/>
          <w:szCs w:val="20"/>
        </w:rPr>
        <w:t xml:space="preserve">to create their own SMSF on retirement or earlier, particularly </w:t>
      </w:r>
      <w:r w:rsidR="00CE6B4C" w:rsidRPr="001B332B">
        <w:rPr>
          <w:rFonts w:ascii="Times New Roman" w:hAnsi="Times New Roman" w:cs="Times New Roman"/>
          <w:sz w:val="20"/>
          <w:szCs w:val="20"/>
        </w:rPr>
        <w:t>if</w:t>
      </w:r>
      <w:r w:rsidR="005C2DB4" w:rsidRPr="001B332B">
        <w:rPr>
          <w:rFonts w:ascii="Times New Roman" w:hAnsi="Times New Roman" w:cs="Times New Roman"/>
          <w:sz w:val="20"/>
          <w:szCs w:val="20"/>
        </w:rPr>
        <w:t xml:space="preserve"> leaving employment with a large benefit entitlement from their existing superannuation fund (</w:t>
      </w:r>
      <w:r w:rsidR="002921C7">
        <w:rPr>
          <w:rFonts w:ascii="Times New Roman" w:hAnsi="Times New Roman" w:cs="Times New Roman"/>
          <w:sz w:val="20"/>
          <w:szCs w:val="20"/>
        </w:rPr>
        <w:t xml:space="preserve">such as </w:t>
      </w:r>
      <w:r w:rsidR="005C2DB4" w:rsidRPr="001B332B">
        <w:rPr>
          <w:rFonts w:ascii="Times New Roman" w:hAnsi="Times New Roman" w:cs="Times New Roman"/>
          <w:sz w:val="20"/>
          <w:szCs w:val="20"/>
        </w:rPr>
        <w:t xml:space="preserve">current corporate or public sector plan). </w:t>
      </w:r>
    </w:p>
    <w:p w:rsidR="001B332B" w:rsidRDefault="001B332B" w:rsidP="006115CF">
      <w:pPr>
        <w:autoSpaceDE w:val="0"/>
        <w:autoSpaceDN w:val="0"/>
        <w:adjustRightInd w:val="0"/>
        <w:spacing w:line="240" w:lineRule="auto"/>
        <w:rPr>
          <w:rFonts w:ascii="Times New Roman" w:hAnsi="Times New Roman" w:cs="Times New Roman"/>
          <w:sz w:val="20"/>
          <w:szCs w:val="20"/>
        </w:rPr>
      </w:pPr>
    </w:p>
    <w:p w:rsidR="006115CF" w:rsidRPr="001B332B" w:rsidRDefault="001B332B" w:rsidP="006115C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5C2DB4" w:rsidRPr="001B332B">
        <w:rPr>
          <w:rFonts w:ascii="Times New Roman" w:hAnsi="Times New Roman" w:cs="Times New Roman"/>
          <w:sz w:val="20"/>
          <w:szCs w:val="20"/>
        </w:rPr>
        <w:t xml:space="preserve">The sense that SMSFs </w:t>
      </w:r>
      <w:r w:rsidR="006115CF" w:rsidRPr="001B332B">
        <w:rPr>
          <w:rFonts w:ascii="Times New Roman" w:hAnsi="Times New Roman" w:cs="Times New Roman"/>
          <w:sz w:val="20"/>
          <w:szCs w:val="20"/>
        </w:rPr>
        <w:t xml:space="preserve">offer greater control over superannuation </w:t>
      </w:r>
      <w:proofErr w:type="gramStart"/>
      <w:r w:rsidR="00CE6B4C" w:rsidRPr="001B332B">
        <w:rPr>
          <w:rFonts w:ascii="Times New Roman" w:hAnsi="Times New Roman" w:cs="Times New Roman"/>
          <w:sz w:val="20"/>
          <w:szCs w:val="20"/>
        </w:rPr>
        <w:t>returns</w:t>
      </w:r>
      <w:r w:rsidR="002E545B">
        <w:rPr>
          <w:rFonts w:ascii="Times New Roman" w:hAnsi="Times New Roman" w:cs="Times New Roman"/>
          <w:sz w:val="20"/>
          <w:szCs w:val="20"/>
        </w:rPr>
        <w:t>,</w:t>
      </w:r>
      <w:proofErr w:type="gramEnd"/>
      <w:r w:rsidR="00CE6B4C" w:rsidRPr="001B332B">
        <w:rPr>
          <w:rFonts w:ascii="Times New Roman" w:hAnsi="Times New Roman" w:cs="Times New Roman"/>
          <w:sz w:val="20"/>
          <w:szCs w:val="20"/>
        </w:rPr>
        <w:t xml:space="preserve"> </w:t>
      </w:r>
      <w:r w:rsidR="006115CF" w:rsidRPr="001B332B">
        <w:rPr>
          <w:rFonts w:ascii="Times New Roman" w:hAnsi="Times New Roman" w:cs="Times New Roman"/>
          <w:sz w:val="20"/>
          <w:szCs w:val="20"/>
        </w:rPr>
        <w:t>and</w:t>
      </w:r>
      <w:r w:rsidR="005C2DB4" w:rsidRPr="001B332B">
        <w:rPr>
          <w:rFonts w:ascii="Times New Roman" w:hAnsi="Times New Roman" w:cs="Times New Roman"/>
          <w:sz w:val="20"/>
          <w:szCs w:val="20"/>
        </w:rPr>
        <w:t xml:space="preserve"> for those members with larger account balances, </w:t>
      </w:r>
      <w:r w:rsidR="006115CF" w:rsidRPr="001B332B">
        <w:rPr>
          <w:rFonts w:ascii="Times New Roman" w:hAnsi="Times New Roman" w:cs="Times New Roman"/>
          <w:sz w:val="20"/>
          <w:szCs w:val="20"/>
        </w:rPr>
        <w:t>the ability to h</w:t>
      </w:r>
      <w:r w:rsidR="005C2DB4" w:rsidRPr="001B332B">
        <w:rPr>
          <w:rFonts w:ascii="Times New Roman" w:hAnsi="Times New Roman" w:cs="Times New Roman"/>
          <w:sz w:val="20"/>
          <w:szCs w:val="20"/>
        </w:rPr>
        <w:t>a</w:t>
      </w:r>
      <w:r w:rsidR="006115CF" w:rsidRPr="001B332B">
        <w:rPr>
          <w:rFonts w:ascii="Times New Roman" w:hAnsi="Times New Roman" w:cs="Times New Roman"/>
          <w:sz w:val="20"/>
          <w:szCs w:val="20"/>
        </w:rPr>
        <w:t>rness the flexibility of family-based</w:t>
      </w:r>
      <w:r w:rsidR="005C2DB4" w:rsidRPr="001B332B">
        <w:rPr>
          <w:rFonts w:ascii="Times New Roman" w:hAnsi="Times New Roman" w:cs="Times New Roman"/>
          <w:sz w:val="20"/>
          <w:szCs w:val="20"/>
        </w:rPr>
        <w:t xml:space="preserve"> </w:t>
      </w:r>
      <w:r w:rsidR="006115CF" w:rsidRPr="001B332B">
        <w:rPr>
          <w:rFonts w:ascii="Times New Roman" w:hAnsi="Times New Roman" w:cs="Times New Roman"/>
          <w:sz w:val="20"/>
          <w:szCs w:val="20"/>
        </w:rPr>
        <w:t>accounts</w:t>
      </w:r>
      <w:r w:rsidR="00CE6B4C" w:rsidRPr="001B332B">
        <w:rPr>
          <w:rFonts w:ascii="Times New Roman" w:hAnsi="Times New Roman" w:cs="Times New Roman"/>
          <w:sz w:val="20"/>
          <w:szCs w:val="20"/>
        </w:rPr>
        <w:t>, are attractive incentives. This</w:t>
      </w:r>
      <w:r w:rsidR="005C2DB4" w:rsidRPr="001B332B">
        <w:rPr>
          <w:rFonts w:ascii="Times New Roman" w:hAnsi="Times New Roman" w:cs="Times New Roman"/>
          <w:sz w:val="20"/>
          <w:szCs w:val="20"/>
        </w:rPr>
        <w:t xml:space="preserve"> </w:t>
      </w:r>
      <w:r w:rsidR="006115CF" w:rsidRPr="001B332B">
        <w:rPr>
          <w:rFonts w:ascii="Times New Roman" w:hAnsi="Times New Roman" w:cs="Times New Roman"/>
          <w:sz w:val="20"/>
          <w:szCs w:val="20"/>
        </w:rPr>
        <w:t>suggest</w:t>
      </w:r>
      <w:r w:rsidR="005C2DB4" w:rsidRPr="001B332B">
        <w:rPr>
          <w:rFonts w:ascii="Times New Roman" w:hAnsi="Times New Roman" w:cs="Times New Roman"/>
          <w:sz w:val="20"/>
          <w:szCs w:val="20"/>
        </w:rPr>
        <w:t>s</w:t>
      </w:r>
      <w:r w:rsidR="006115CF" w:rsidRPr="001B332B">
        <w:rPr>
          <w:rFonts w:ascii="Times New Roman" w:hAnsi="Times New Roman" w:cs="Times New Roman"/>
          <w:sz w:val="20"/>
          <w:szCs w:val="20"/>
        </w:rPr>
        <w:t xml:space="preserve"> th</w:t>
      </w:r>
      <w:r w:rsidR="005C2DB4" w:rsidRPr="001B332B">
        <w:rPr>
          <w:rFonts w:ascii="Times New Roman" w:hAnsi="Times New Roman" w:cs="Times New Roman"/>
          <w:sz w:val="20"/>
          <w:szCs w:val="20"/>
        </w:rPr>
        <w:t>at</w:t>
      </w:r>
      <w:r w:rsidR="00CE6B4C" w:rsidRPr="001B332B">
        <w:rPr>
          <w:rFonts w:ascii="Times New Roman" w:hAnsi="Times New Roman" w:cs="Times New Roman"/>
          <w:sz w:val="20"/>
          <w:szCs w:val="20"/>
        </w:rPr>
        <w:t>,</w:t>
      </w:r>
      <w:r w:rsidR="005C2DB4" w:rsidRPr="001B332B">
        <w:rPr>
          <w:rFonts w:ascii="Times New Roman" w:hAnsi="Times New Roman" w:cs="Times New Roman"/>
          <w:sz w:val="20"/>
          <w:szCs w:val="20"/>
        </w:rPr>
        <w:t xml:space="preserve"> with </w:t>
      </w:r>
      <w:r w:rsidR="006115CF" w:rsidRPr="001B332B">
        <w:rPr>
          <w:rFonts w:ascii="Times New Roman" w:hAnsi="Times New Roman" w:cs="Times New Roman"/>
          <w:sz w:val="20"/>
          <w:szCs w:val="20"/>
        </w:rPr>
        <w:t>the tax benefits available within an SMSF structure for those transitioning from pre-retirement to post-retirement</w:t>
      </w:r>
      <w:r w:rsidR="005C2DB4" w:rsidRPr="001B332B">
        <w:rPr>
          <w:rFonts w:ascii="Times New Roman" w:hAnsi="Times New Roman" w:cs="Times New Roman"/>
          <w:sz w:val="20"/>
          <w:szCs w:val="20"/>
        </w:rPr>
        <w:t>, post</w:t>
      </w:r>
      <w:r w:rsidR="00CE6B4C" w:rsidRPr="001B332B">
        <w:rPr>
          <w:rFonts w:ascii="Times New Roman" w:hAnsi="Times New Roman" w:cs="Times New Roman"/>
          <w:sz w:val="20"/>
          <w:szCs w:val="20"/>
        </w:rPr>
        <w:t>-</w:t>
      </w:r>
      <w:r w:rsidR="005C2DB4" w:rsidRPr="001B332B">
        <w:rPr>
          <w:rFonts w:ascii="Times New Roman" w:hAnsi="Times New Roman" w:cs="Times New Roman"/>
          <w:sz w:val="20"/>
          <w:szCs w:val="20"/>
        </w:rPr>
        <w:t>retirement SMSF</w:t>
      </w:r>
      <w:r w:rsidR="00CE6B4C" w:rsidRPr="001B332B">
        <w:rPr>
          <w:rFonts w:ascii="Times New Roman" w:hAnsi="Times New Roman" w:cs="Times New Roman"/>
          <w:sz w:val="20"/>
          <w:szCs w:val="20"/>
        </w:rPr>
        <w:t xml:space="preserve"> asset</w:t>
      </w:r>
      <w:r w:rsidR="005C2DB4" w:rsidRPr="001B332B">
        <w:rPr>
          <w:rFonts w:ascii="Times New Roman" w:hAnsi="Times New Roman" w:cs="Times New Roman"/>
          <w:sz w:val="20"/>
          <w:szCs w:val="20"/>
        </w:rPr>
        <w:t>s will continue</w:t>
      </w:r>
      <w:r w:rsidR="00CE6B4C" w:rsidRPr="001B332B">
        <w:rPr>
          <w:rFonts w:ascii="Times New Roman" w:hAnsi="Times New Roman" w:cs="Times New Roman"/>
          <w:sz w:val="20"/>
          <w:szCs w:val="20"/>
        </w:rPr>
        <w:t xml:space="preserve"> to grow</w:t>
      </w:r>
      <w:r w:rsidR="006115CF" w:rsidRPr="001B332B">
        <w:rPr>
          <w:rFonts w:ascii="Times New Roman" w:hAnsi="Times New Roman" w:cs="Times New Roman"/>
          <w:sz w:val="20"/>
          <w:szCs w:val="20"/>
        </w:rPr>
        <w:t>.</w:t>
      </w:r>
      <w:r w:rsidR="005C2DB4" w:rsidRPr="001B332B">
        <w:rPr>
          <w:rFonts w:ascii="Times New Roman" w:hAnsi="Times New Roman" w:cs="Times New Roman"/>
          <w:sz w:val="20"/>
          <w:szCs w:val="20"/>
        </w:rPr>
        <w:t>”</w:t>
      </w:r>
    </w:p>
    <w:p w:rsidR="006115CF" w:rsidRPr="001B332B" w:rsidRDefault="006115CF" w:rsidP="006115CF">
      <w:pPr>
        <w:pStyle w:val="Body"/>
        <w:rPr>
          <w:rFonts w:ascii="FrutigerNextPro-Light" w:hAnsi="FrutigerNextPro-Light" w:cs="FrutigerNextPro-Light"/>
          <w:sz w:val="20"/>
        </w:rPr>
      </w:pPr>
    </w:p>
    <w:p w:rsidR="002921C7" w:rsidRDefault="002921C7" w:rsidP="00500560">
      <w:pPr>
        <w:pStyle w:val="Body"/>
        <w:keepNext/>
        <w:rPr>
          <w:rFonts w:eastAsiaTheme="majorEastAsia"/>
          <w:b/>
          <w:color w:val="000000"/>
          <w:szCs w:val="22"/>
        </w:rPr>
      </w:pPr>
      <w:r>
        <w:rPr>
          <w:rFonts w:eastAsiaTheme="majorEastAsia"/>
          <w:b/>
          <w:color w:val="000000"/>
          <w:szCs w:val="22"/>
        </w:rPr>
        <w:lastRenderedPageBreak/>
        <w:t>SMSFs to dominate in post-retirement space</w:t>
      </w:r>
    </w:p>
    <w:p w:rsidR="002921C7" w:rsidRPr="001B332B" w:rsidRDefault="002921C7" w:rsidP="00500560">
      <w:pPr>
        <w:pStyle w:val="Body"/>
        <w:keepNext/>
        <w:rPr>
          <w:rFonts w:eastAsiaTheme="majorEastAsia"/>
          <w:b/>
          <w:color w:val="000000"/>
          <w:szCs w:val="22"/>
        </w:rPr>
      </w:pPr>
    </w:p>
    <w:p w:rsidR="00276187" w:rsidRDefault="00276187" w:rsidP="006115CF">
      <w:pPr>
        <w:pStyle w:val="Body"/>
        <w:rPr>
          <w:rFonts w:ascii="FrutigerNextPro-Light" w:hAnsi="FrutigerNextPro-Light" w:cs="FrutigerNextPro-Light"/>
          <w:sz w:val="17"/>
          <w:szCs w:val="17"/>
        </w:rPr>
      </w:pPr>
      <w:r w:rsidRPr="00276187">
        <w:rPr>
          <w:rFonts w:ascii="FrutigerNextPro-Light" w:hAnsi="FrutigerNextPro-Light" w:cs="FrutigerNextPro-Light"/>
          <w:noProof/>
          <w:sz w:val="17"/>
          <w:szCs w:val="17"/>
          <w:lang w:eastAsia="en-AU"/>
        </w:rPr>
        <w:drawing>
          <wp:inline distT="0" distB="0" distL="0" distR="0" wp14:anchorId="6E034A99" wp14:editId="0F51C06D">
            <wp:extent cx="5609230" cy="3416477"/>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09230" cy="3416477"/>
                    </a:xfrm>
                    <a:prstGeom prst="rect">
                      <a:avLst/>
                    </a:prstGeom>
                  </pic:spPr>
                </pic:pic>
              </a:graphicData>
            </a:graphic>
          </wp:inline>
        </w:drawing>
      </w:r>
    </w:p>
    <w:p w:rsidR="00276187" w:rsidRDefault="00276187" w:rsidP="006115CF">
      <w:pPr>
        <w:pStyle w:val="Body"/>
        <w:rPr>
          <w:rFonts w:ascii="FrutigerNextPro-Light" w:hAnsi="FrutigerNextPro-Light" w:cs="FrutigerNextPro-Light"/>
          <w:sz w:val="17"/>
          <w:szCs w:val="17"/>
        </w:rPr>
      </w:pPr>
    </w:p>
    <w:p w:rsidR="00276187" w:rsidRPr="001B332B" w:rsidRDefault="00276187" w:rsidP="006115CF">
      <w:pPr>
        <w:pStyle w:val="Body"/>
        <w:rPr>
          <w:b/>
          <w:szCs w:val="22"/>
        </w:rPr>
      </w:pPr>
      <w:r w:rsidRPr="001B332B">
        <w:rPr>
          <w:b/>
          <w:szCs w:val="22"/>
        </w:rPr>
        <w:t>Benefit adequacy</w:t>
      </w:r>
    </w:p>
    <w:p w:rsidR="00276187" w:rsidRPr="001B332B" w:rsidRDefault="00276187" w:rsidP="00276187">
      <w:pPr>
        <w:pStyle w:val="Body"/>
        <w:rPr>
          <w:szCs w:val="22"/>
        </w:rPr>
      </w:pPr>
      <w:r w:rsidRPr="001B332B">
        <w:rPr>
          <w:szCs w:val="22"/>
        </w:rPr>
        <w:t>Mason said: “It is widely recognised that SG contributions alone are insufficient to produce an adequate retirement income for a typical retiree. When Paul Keating first designed the superannuation system in the early 1990s, he intended compulsory contributions to reach 15% of salary – 12% from employers and 3% from employees.</w:t>
      </w:r>
    </w:p>
    <w:p w:rsidR="00276187" w:rsidRPr="001B332B" w:rsidRDefault="00276187" w:rsidP="00276187">
      <w:pPr>
        <w:pStyle w:val="Body"/>
        <w:rPr>
          <w:szCs w:val="22"/>
        </w:rPr>
      </w:pPr>
    </w:p>
    <w:p w:rsidR="006115CF" w:rsidRPr="001B332B" w:rsidRDefault="00276187" w:rsidP="00BE487E">
      <w:pPr>
        <w:pStyle w:val="Body"/>
        <w:rPr>
          <w:szCs w:val="22"/>
        </w:rPr>
      </w:pPr>
      <w:r w:rsidRPr="001B332B">
        <w:rPr>
          <w:szCs w:val="22"/>
        </w:rPr>
        <w:t>“</w:t>
      </w:r>
      <w:r w:rsidR="00BE487E" w:rsidRPr="001B332B">
        <w:rPr>
          <w:szCs w:val="22"/>
        </w:rPr>
        <w:t xml:space="preserve">We’ve come a long way since then, particularly in longevity. Deloitte </w:t>
      </w:r>
      <w:r w:rsidR="002921C7">
        <w:rPr>
          <w:szCs w:val="22"/>
        </w:rPr>
        <w:t>conducted calculations for</w:t>
      </w:r>
      <w:r w:rsidR="00BE487E" w:rsidRPr="001B332B">
        <w:rPr>
          <w:szCs w:val="22"/>
        </w:rPr>
        <w:t xml:space="preserve"> a typical 30 year old individual today, earning approximately $65,000 p.a. and with a current superannuation balance of $30,000 invested in a typical 70/30 balanced portfolio. In order to produce a retirement income equivalent to the ASFA Comfortable Standard lasting until their life expectancy, this individual would need to contribute at the rate of 17.4%</w:t>
      </w:r>
      <w:r w:rsidR="002921C7">
        <w:rPr>
          <w:szCs w:val="22"/>
        </w:rPr>
        <w:t xml:space="preserve"> in total</w:t>
      </w:r>
      <w:r w:rsidR="00BE487E" w:rsidRPr="001B332B">
        <w:rPr>
          <w:szCs w:val="22"/>
        </w:rPr>
        <w:t>, if they were male, and 19.5% if they were female.</w:t>
      </w:r>
    </w:p>
    <w:p w:rsidR="00CE6B4C" w:rsidRPr="001B332B" w:rsidRDefault="00CE6B4C" w:rsidP="006115CF">
      <w:pPr>
        <w:pStyle w:val="Body"/>
        <w:rPr>
          <w:szCs w:val="22"/>
        </w:rPr>
      </w:pPr>
      <w:r w:rsidRPr="001B332B">
        <w:rPr>
          <w:szCs w:val="22"/>
        </w:rPr>
        <w:t xml:space="preserve"> </w:t>
      </w:r>
    </w:p>
    <w:p w:rsidR="00D124DE" w:rsidRPr="001B332B" w:rsidRDefault="00BE487E" w:rsidP="006115CF">
      <w:pPr>
        <w:pStyle w:val="Body"/>
        <w:rPr>
          <w:szCs w:val="22"/>
        </w:rPr>
      </w:pPr>
      <w:r w:rsidRPr="001B332B">
        <w:rPr>
          <w:szCs w:val="22"/>
        </w:rPr>
        <w:t>“There is c</w:t>
      </w:r>
      <w:r w:rsidR="006115CF" w:rsidRPr="001B332B">
        <w:rPr>
          <w:szCs w:val="22"/>
        </w:rPr>
        <w:t>learly a significant gap between compulsory and required contributions which is not being met by additional voluntary contributions by the majority of Australians.</w:t>
      </w:r>
      <w:r w:rsidR="00ED1264">
        <w:rPr>
          <w:szCs w:val="22"/>
        </w:rPr>
        <w:t>”</w:t>
      </w:r>
    </w:p>
    <w:p w:rsidR="00D124DE" w:rsidRPr="001B332B" w:rsidRDefault="00D124DE" w:rsidP="008C4AD1">
      <w:pPr>
        <w:pStyle w:val="Body"/>
        <w:rPr>
          <w:szCs w:val="22"/>
        </w:rPr>
      </w:pPr>
    </w:p>
    <w:p w:rsidR="001B332B" w:rsidRDefault="001B332B" w:rsidP="001B332B">
      <w:pPr>
        <w:pStyle w:val="Body"/>
      </w:pPr>
      <w:r>
        <w:rPr>
          <w:szCs w:val="22"/>
        </w:rPr>
        <w:t>The Deloitte research</w:t>
      </w:r>
      <w:r w:rsidR="00BE487E" w:rsidRPr="001B332B">
        <w:rPr>
          <w:szCs w:val="22"/>
        </w:rPr>
        <w:t xml:space="preserve"> findings highlight the need for industry and</w:t>
      </w:r>
      <w:r>
        <w:rPr>
          <w:szCs w:val="22"/>
        </w:rPr>
        <w:t xml:space="preserve"> </w:t>
      </w:r>
      <w:r w:rsidR="00BE487E" w:rsidRPr="001B332B">
        <w:rPr>
          <w:szCs w:val="22"/>
        </w:rPr>
        <w:t xml:space="preserve">government to consider how best to </w:t>
      </w:r>
      <w:r w:rsidRPr="001B332B">
        <w:t>replenish revenues, refresh strategy, and</w:t>
      </w:r>
      <w:r>
        <w:t xml:space="preserve"> </w:t>
      </w:r>
      <w:r w:rsidRPr="001B332B">
        <w:t>recalibrate costs</w:t>
      </w:r>
      <w:r w:rsidR="00ED1264">
        <w:t xml:space="preserve"> including</w:t>
      </w:r>
      <w:r w:rsidRPr="001B332B">
        <w:t>:</w:t>
      </w:r>
    </w:p>
    <w:p w:rsidR="006805CB" w:rsidRPr="001B332B" w:rsidRDefault="006805CB" w:rsidP="001B332B">
      <w:pPr>
        <w:pStyle w:val="Body"/>
      </w:pPr>
    </w:p>
    <w:p w:rsidR="001B332B" w:rsidRPr="001B332B" w:rsidRDefault="001B332B" w:rsidP="006805CB">
      <w:pPr>
        <w:pStyle w:val="Body"/>
        <w:numPr>
          <w:ilvl w:val="0"/>
          <w:numId w:val="16"/>
        </w:numPr>
      </w:pPr>
      <w:r w:rsidRPr="006805CB">
        <w:rPr>
          <w:b/>
          <w:i/>
          <w:iCs/>
        </w:rPr>
        <w:t>Develop</w:t>
      </w:r>
      <w:r w:rsidR="00ED1264">
        <w:rPr>
          <w:b/>
          <w:i/>
          <w:iCs/>
        </w:rPr>
        <w:t>ing</w:t>
      </w:r>
      <w:r w:rsidRPr="006805CB">
        <w:rPr>
          <w:b/>
          <w:i/>
          <w:iCs/>
        </w:rPr>
        <w:t xml:space="preserve"> innovative products</w:t>
      </w:r>
      <w:r w:rsidRPr="001B332B">
        <w:t>:</w:t>
      </w:r>
    </w:p>
    <w:p w:rsidR="001B332B" w:rsidRPr="001B332B" w:rsidRDefault="001B332B" w:rsidP="006805CB">
      <w:pPr>
        <w:pStyle w:val="Body"/>
        <w:numPr>
          <w:ilvl w:val="0"/>
          <w:numId w:val="17"/>
        </w:numPr>
      </w:pPr>
      <w:r w:rsidRPr="006805CB">
        <w:rPr>
          <w:b/>
        </w:rPr>
        <w:t>Retail funds</w:t>
      </w:r>
      <w:r w:rsidR="004536BA">
        <w:t xml:space="preserve"> </w:t>
      </w:r>
      <w:r w:rsidRPr="001B332B">
        <w:t>could leverage the</w:t>
      </w:r>
      <w:r w:rsidR="006805CB">
        <w:t xml:space="preserve"> </w:t>
      </w:r>
      <w:r w:rsidRPr="001B332B">
        <w:t>inherent advantages of their sophisticated marketing</w:t>
      </w:r>
      <w:r w:rsidR="006805CB">
        <w:t xml:space="preserve"> </w:t>
      </w:r>
      <w:r w:rsidRPr="001B332B">
        <w:t>techniques, branding and advances in social business</w:t>
      </w:r>
      <w:r w:rsidR="006805CB">
        <w:t>.</w:t>
      </w:r>
    </w:p>
    <w:p w:rsidR="001B332B" w:rsidRPr="001B332B" w:rsidRDefault="001B332B" w:rsidP="006805CB">
      <w:pPr>
        <w:pStyle w:val="Body"/>
        <w:numPr>
          <w:ilvl w:val="0"/>
          <w:numId w:val="17"/>
        </w:numPr>
      </w:pPr>
      <w:r w:rsidRPr="006805CB">
        <w:rPr>
          <w:b/>
        </w:rPr>
        <w:t>Industry funds</w:t>
      </w:r>
      <w:r w:rsidRPr="001B332B">
        <w:t xml:space="preserve"> could continue to give fund members</w:t>
      </w:r>
      <w:r w:rsidR="006805CB">
        <w:t xml:space="preserve"> </w:t>
      </w:r>
      <w:r w:rsidRPr="001B332B">
        <w:t>the ability to invest directly in shares, deposits and</w:t>
      </w:r>
      <w:r w:rsidR="006805CB">
        <w:t xml:space="preserve"> </w:t>
      </w:r>
      <w:r w:rsidRPr="001B332B">
        <w:t>fixed term assets, us</w:t>
      </w:r>
      <w:r w:rsidR="004536BA">
        <w:t>ing</w:t>
      </w:r>
      <w:r w:rsidRPr="001B332B">
        <w:t xml:space="preserve"> data to</w:t>
      </w:r>
      <w:r w:rsidR="006805CB">
        <w:t xml:space="preserve"> </w:t>
      </w:r>
      <w:r w:rsidRPr="001B332B">
        <w:t>develop personalised product and service offerings</w:t>
      </w:r>
      <w:r w:rsidR="006805CB">
        <w:t xml:space="preserve"> </w:t>
      </w:r>
      <w:r w:rsidRPr="001B332B">
        <w:t>for default and choice members</w:t>
      </w:r>
      <w:r w:rsidR="006805CB">
        <w:t>.</w:t>
      </w:r>
    </w:p>
    <w:p w:rsidR="001B332B" w:rsidRPr="001B332B" w:rsidRDefault="001B332B" w:rsidP="006805CB">
      <w:pPr>
        <w:pStyle w:val="Body"/>
        <w:numPr>
          <w:ilvl w:val="0"/>
          <w:numId w:val="16"/>
        </w:numPr>
      </w:pPr>
      <w:r w:rsidRPr="006805CB">
        <w:rPr>
          <w:b/>
          <w:i/>
          <w:iCs/>
        </w:rPr>
        <w:t>Increasing education</w:t>
      </w:r>
      <w:r w:rsidRPr="001B332B">
        <w:rPr>
          <w:i/>
          <w:iCs/>
        </w:rPr>
        <w:t xml:space="preserve"> </w:t>
      </w:r>
      <w:r w:rsidRPr="001B332B">
        <w:t>and emphasizing the value of</w:t>
      </w:r>
      <w:r w:rsidR="006805CB">
        <w:t xml:space="preserve"> </w:t>
      </w:r>
      <w:r w:rsidRPr="006805CB">
        <w:rPr>
          <w:b/>
          <w:i/>
          <w:iCs/>
        </w:rPr>
        <w:t>after-tax returns</w:t>
      </w:r>
      <w:r w:rsidRPr="001B332B">
        <w:rPr>
          <w:i/>
          <w:iCs/>
        </w:rPr>
        <w:t xml:space="preserve"> </w:t>
      </w:r>
      <w:r w:rsidRPr="001B332B">
        <w:t>from superannuation products relative</w:t>
      </w:r>
      <w:r w:rsidR="006805CB">
        <w:t xml:space="preserve"> </w:t>
      </w:r>
      <w:r w:rsidRPr="001B332B">
        <w:t>to other investment vehicles</w:t>
      </w:r>
      <w:r w:rsidR="004536BA">
        <w:t>.</w:t>
      </w:r>
    </w:p>
    <w:p w:rsidR="001B332B" w:rsidRPr="001B332B" w:rsidRDefault="001B332B" w:rsidP="006805CB">
      <w:pPr>
        <w:pStyle w:val="Body"/>
        <w:numPr>
          <w:ilvl w:val="0"/>
          <w:numId w:val="16"/>
        </w:numPr>
      </w:pPr>
      <w:r w:rsidRPr="006805CB">
        <w:rPr>
          <w:b/>
          <w:i/>
          <w:iCs/>
        </w:rPr>
        <w:t>Introducing new investment options</w:t>
      </w:r>
      <w:r w:rsidRPr="006805CB">
        <w:rPr>
          <w:i/>
          <w:iCs/>
        </w:rPr>
        <w:t xml:space="preserve"> </w:t>
      </w:r>
      <w:r w:rsidRPr="001B332B">
        <w:t>including</w:t>
      </w:r>
      <w:r w:rsidR="006805CB">
        <w:t xml:space="preserve"> </w:t>
      </w:r>
      <w:r w:rsidRPr="001B332B">
        <w:t>innovative approaches to making income</w:t>
      </w:r>
      <w:r w:rsidR="006805CB">
        <w:t xml:space="preserve"> </w:t>
      </w:r>
      <w:r w:rsidRPr="001B332B">
        <w:t>streams and annuities an attractive proposition</w:t>
      </w:r>
      <w:r w:rsidR="006805CB">
        <w:t xml:space="preserve"> </w:t>
      </w:r>
      <w:r w:rsidRPr="001B332B">
        <w:t>to retirees</w:t>
      </w:r>
      <w:r w:rsidR="004536BA">
        <w:t>.</w:t>
      </w:r>
    </w:p>
    <w:p w:rsidR="001B332B" w:rsidRPr="001B332B" w:rsidRDefault="001B332B" w:rsidP="004536BA">
      <w:pPr>
        <w:pStyle w:val="Body"/>
        <w:numPr>
          <w:ilvl w:val="0"/>
          <w:numId w:val="16"/>
        </w:numPr>
      </w:pPr>
      <w:r w:rsidRPr="004536BA">
        <w:rPr>
          <w:b/>
          <w:i/>
          <w:iCs/>
        </w:rPr>
        <w:t>Boosting the population</w:t>
      </w:r>
      <w:r w:rsidRPr="004536BA">
        <w:rPr>
          <w:i/>
          <w:iCs/>
        </w:rPr>
        <w:t xml:space="preserve"> </w:t>
      </w:r>
      <w:r w:rsidRPr="001B332B">
        <w:t>and the size of the asset</w:t>
      </w:r>
      <w:r w:rsidR="006805CB">
        <w:t xml:space="preserve"> </w:t>
      </w:r>
      <w:r w:rsidRPr="001B332B">
        <w:t>pool through</w:t>
      </w:r>
      <w:r w:rsidR="004536BA">
        <w:t xml:space="preserve"> m</w:t>
      </w:r>
      <w:r w:rsidRPr="001B332B">
        <w:t>igration and increased working life</w:t>
      </w:r>
      <w:r w:rsidR="006805CB">
        <w:t xml:space="preserve"> </w:t>
      </w:r>
      <w:r w:rsidR="004536BA">
        <w:t>and immigration (at working ages).</w:t>
      </w:r>
    </w:p>
    <w:p w:rsidR="004536BA" w:rsidRDefault="004536BA" w:rsidP="001B332B">
      <w:pPr>
        <w:pStyle w:val="Body"/>
      </w:pPr>
    </w:p>
    <w:p w:rsidR="001B332B" w:rsidRDefault="00ED1264" w:rsidP="001B332B">
      <w:pPr>
        <w:pStyle w:val="Body"/>
        <w:rPr>
          <w:szCs w:val="22"/>
        </w:rPr>
      </w:pPr>
      <w:r>
        <w:t>Mason</w:t>
      </w:r>
      <w:r w:rsidR="00D83A82">
        <w:t xml:space="preserve"> </w:t>
      </w:r>
      <w:r w:rsidR="00D83A82">
        <w:rPr>
          <w:szCs w:val="22"/>
        </w:rPr>
        <w:t>concluded</w:t>
      </w:r>
      <w:r w:rsidR="00D83A82">
        <w:t xml:space="preserve">: </w:t>
      </w:r>
      <w:r w:rsidR="006805CB">
        <w:t>“</w:t>
      </w:r>
      <w:r w:rsidR="001B332B" w:rsidRPr="001B332B">
        <w:t>These are just some of the levers that business and</w:t>
      </w:r>
      <w:r w:rsidR="006805CB">
        <w:t xml:space="preserve"> </w:t>
      </w:r>
      <w:r w:rsidR="001B332B" w:rsidRPr="001B332B">
        <w:t>government can pull to help manage the shifting dynamics</w:t>
      </w:r>
      <w:r w:rsidR="006805CB">
        <w:t xml:space="preserve"> </w:t>
      </w:r>
      <w:r w:rsidR="001B332B" w:rsidRPr="001B332B">
        <w:rPr>
          <w:szCs w:val="22"/>
        </w:rPr>
        <w:t>of superannuation over the next twenty years</w:t>
      </w:r>
      <w:r w:rsidR="002921C7">
        <w:rPr>
          <w:szCs w:val="22"/>
        </w:rPr>
        <w:t xml:space="preserve"> and beyond</w:t>
      </w:r>
      <w:r w:rsidR="001B332B" w:rsidRPr="001B332B">
        <w:rPr>
          <w:szCs w:val="22"/>
        </w:rPr>
        <w:t>.</w:t>
      </w:r>
      <w:r w:rsidR="006805CB">
        <w:rPr>
          <w:szCs w:val="22"/>
        </w:rPr>
        <w:t>”</w:t>
      </w:r>
    </w:p>
    <w:p w:rsidR="006805CB" w:rsidRPr="001B332B" w:rsidRDefault="006805CB" w:rsidP="001B332B">
      <w:pPr>
        <w:pStyle w:val="Body"/>
        <w:rPr>
          <w:szCs w:val="22"/>
        </w:rPr>
      </w:pPr>
    </w:p>
    <w:p w:rsidR="00D84D0F" w:rsidRDefault="00D84D0F" w:rsidP="00D84D0F">
      <w:pPr>
        <w:pStyle w:val="Body"/>
        <w:rPr>
          <w:b/>
        </w:rPr>
      </w:pPr>
      <w:r>
        <w:rPr>
          <w:b/>
        </w:rPr>
        <w:t>Highlights</w:t>
      </w:r>
    </w:p>
    <w:p w:rsidR="00D84D0F" w:rsidRPr="00287F2A" w:rsidRDefault="00D84D0F" w:rsidP="00D84D0F">
      <w:pPr>
        <w:pStyle w:val="Body"/>
        <w:numPr>
          <w:ilvl w:val="0"/>
          <w:numId w:val="7"/>
        </w:numPr>
      </w:pPr>
      <w:r w:rsidRPr="00287F2A">
        <w:t>Increasing steadily to $9.5 trillion by 2035</w:t>
      </w:r>
    </w:p>
    <w:p w:rsidR="00D84D0F" w:rsidRPr="00287F2A" w:rsidRDefault="00D84D0F" w:rsidP="00D84D0F">
      <w:pPr>
        <w:pStyle w:val="Body"/>
        <w:numPr>
          <w:ilvl w:val="0"/>
          <w:numId w:val="7"/>
        </w:numPr>
      </w:pPr>
      <w:r w:rsidRPr="00287F2A">
        <w:t>BUT most Australians will still rely in part on social security in retirement</w:t>
      </w:r>
    </w:p>
    <w:p w:rsidR="00D84D0F" w:rsidRPr="00287F2A" w:rsidRDefault="00D84D0F" w:rsidP="00D84D0F">
      <w:pPr>
        <w:pStyle w:val="Body"/>
        <w:numPr>
          <w:ilvl w:val="0"/>
          <w:numId w:val="7"/>
        </w:numPr>
      </w:pPr>
      <w:r w:rsidRPr="00287F2A">
        <w:t>Post-retirement market will grow to $1.5 trillion by 2035. A large proportion of benefits will be drawn as a lump sum on retirement (or shortly thereafter)</w:t>
      </w:r>
    </w:p>
    <w:p w:rsidR="00D84D0F" w:rsidRPr="00287F2A" w:rsidRDefault="00D84D0F" w:rsidP="00D84D0F">
      <w:pPr>
        <w:pStyle w:val="Body"/>
        <w:numPr>
          <w:ilvl w:val="0"/>
          <w:numId w:val="7"/>
        </w:numPr>
      </w:pPr>
      <w:r w:rsidRPr="00287F2A">
        <w:t>SMSFs continue to remain popular, especially in the post retirement phase</w:t>
      </w:r>
    </w:p>
    <w:p w:rsidR="00D84D0F" w:rsidRPr="00287F2A" w:rsidRDefault="00D84D0F" w:rsidP="00D84D0F">
      <w:pPr>
        <w:pStyle w:val="Body"/>
        <w:numPr>
          <w:ilvl w:val="0"/>
          <w:numId w:val="7"/>
        </w:numPr>
      </w:pPr>
      <w:r w:rsidRPr="00287F2A">
        <w:t>Despite an ageing population, most funds will remain cash</w:t>
      </w:r>
      <w:r w:rsidR="001B332B">
        <w:t xml:space="preserve"> </w:t>
      </w:r>
      <w:r w:rsidRPr="00287F2A">
        <w:t>flow positive</w:t>
      </w:r>
    </w:p>
    <w:p w:rsidR="00D84D0F" w:rsidRPr="00287F2A" w:rsidRDefault="00D84D0F" w:rsidP="00D84D0F">
      <w:pPr>
        <w:pStyle w:val="Body"/>
        <w:numPr>
          <w:ilvl w:val="0"/>
          <w:numId w:val="7"/>
        </w:numPr>
      </w:pPr>
      <w:r w:rsidRPr="00287F2A">
        <w:t>Adequacy is still a key issue as the number of retirees grow and the old-age dependency ratio doubles by 2015</w:t>
      </w:r>
    </w:p>
    <w:p w:rsidR="00D84D0F" w:rsidRPr="00287F2A" w:rsidRDefault="00D84D0F" w:rsidP="00D84D0F">
      <w:pPr>
        <w:pStyle w:val="Body"/>
        <w:numPr>
          <w:ilvl w:val="0"/>
          <w:numId w:val="7"/>
        </w:numPr>
      </w:pPr>
      <w:r w:rsidRPr="00287F2A">
        <w:t>A lifetime cap is a solution and potentially less expensive for government.</w:t>
      </w:r>
    </w:p>
    <w:p w:rsidR="00D84D0F" w:rsidRDefault="00D84D0F" w:rsidP="003E2BBB">
      <w:pPr>
        <w:pStyle w:val="Body"/>
      </w:pPr>
    </w:p>
    <w:p w:rsidR="003E2BBB" w:rsidRDefault="00FC7F6C" w:rsidP="003E2BBB">
      <w:pPr>
        <w:pStyle w:val="Body"/>
      </w:pPr>
      <w:r>
        <w:t>For more information on the Dynamics of the Australian Superannuation System: the next 20 years</w:t>
      </w:r>
      <w:r w:rsidR="00400315">
        <w:t>,</w:t>
      </w:r>
      <w:r>
        <w:t xml:space="preserve"> download the </w:t>
      </w:r>
      <w:r w:rsidR="008B57CA">
        <w:t>Report at</w:t>
      </w:r>
      <w:r>
        <w:t xml:space="preserve"> </w:t>
      </w:r>
      <w:hyperlink r:id="rId15" w:history="1">
        <w:r w:rsidR="00EA127F">
          <w:rPr>
            <w:rStyle w:val="Hyperlink"/>
          </w:rPr>
          <w:t>www.deloitte.</w:t>
        </w:r>
        <w:bookmarkStart w:id="0" w:name="_GoBack"/>
        <w:bookmarkEnd w:id="0"/>
        <w:r w:rsidR="00EA127F">
          <w:rPr>
            <w:rStyle w:val="Hyperlink"/>
          </w:rPr>
          <w:t>c</w:t>
        </w:r>
        <w:r w:rsidR="00EA127F">
          <w:rPr>
            <w:rStyle w:val="Hyperlink"/>
          </w:rPr>
          <w:t>om/au/superannuation</w:t>
        </w:r>
      </w:hyperlink>
    </w:p>
    <w:p w:rsidR="001E66DA" w:rsidRDefault="001E66DA" w:rsidP="00D010EE">
      <w:pPr>
        <w:pStyle w:val="Body"/>
      </w:pPr>
    </w:p>
    <w:p w:rsidR="00B43AC2" w:rsidRDefault="00B43AC2" w:rsidP="001A1516">
      <w:pPr>
        <w:pStyle w:val="Body"/>
      </w:pPr>
      <w:r w:rsidRPr="004455CD">
        <w:t xml:space="preserve">NB: </w:t>
      </w:r>
      <w:r>
        <w:t xml:space="preserve">See our media releases and research at </w:t>
      </w:r>
      <w:hyperlink r:id="rId16" w:history="1">
        <w:r w:rsidRPr="00605FF1">
          <w:t>www.deloitte.com.au</w:t>
        </w:r>
      </w:hyperlink>
      <w:r w:rsidR="008B57CA">
        <w:t xml:space="preserve"> </w:t>
      </w:r>
    </w:p>
    <w:p w:rsidR="00B43AC2" w:rsidRPr="004455CD" w:rsidRDefault="00B43AC2" w:rsidP="00B43AC2">
      <w:pPr>
        <w:pStyle w:val="Body"/>
      </w:pPr>
    </w:p>
    <w:tbl>
      <w:tblPr>
        <w:tblW w:w="9747" w:type="dxa"/>
        <w:tblLook w:val="0000" w:firstRow="0" w:lastRow="0" w:firstColumn="0" w:lastColumn="0" w:noHBand="0" w:noVBand="0"/>
      </w:tblPr>
      <w:tblGrid>
        <w:gridCol w:w="3369"/>
        <w:gridCol w:w="3402"/>
        <w:gridCol w:w="2976"/>
      </w:tblGrid>
      <w:tr w:rsidR="00082B5B" w:rsidTr="000813CD">
        <w:tc>
          <w:tcPr>
            <w:tcW w:w="3369" w:type="dxa"/>
          </w:tcPr>
          <w:p w:rsidR="00082B5B" w:rsidRPr="00251922" w:rsidRDefault="00082B5B" w:rsidP="00854178">
            <w:pPr>
              <w:pStyle w:val="Body"/>
              <w:rPr>
                <w:b/>
              </w:rPr>
            </w:pPr>
            <w:r w:rsidRPr="00251922">
              <w:rPr>
                <w:b/>
              </w:rPr>
              <w:t>For further information:</w:t>
            </w:r>
          </w:p>
        </w:tc>
        <w:tc>
          <w:tcPr>
            <w:tcW w:w="6378" w:type="dxa"/>
            <w:gridSpan w:val="2"/>
          </w:tcPr>
          <w:p w:rsidR="00082B5B" w:rsidRPr="00251922" w:rsidRDefault="00082B5B" w:rsidP="00854178">
            <w:pPr>
              <w:pStyle w:val="Body"/>
              <w:rPr>
                <w:b/>
              </w:rPr>
            </w:pPr>
          </w:p>
        </w:tc>
      </w:tr>
      <w:tr w:rsidR="00082B5B" w:rsidRPr="00AF398E" w:rsidTr="000813CD">
        <w:trPr>
          <w:trHeight w:val="426"/>
        </w:trPr>
        <w:tc>
          <w:tcPr>
            <w:tcW w:w="3369" w:type="dxa"/>
          </w:tcPr>
          <w:p w:rsidR="00082B5B" w:rsidRDefault="00082B5B" w:rsidP="00082B5B">
            <w:pPr>
              <w:pStyle w:val="Body"/>
            </w:pPr>
            <w:r>
              <w:t>Russell Mason</w:t>
            </w:r>
          </w:p>
          <w:p w:rsidR="00082B5B" w:rsidRPr="00FA0D71" w:rsidRDefault="00082B5B" w:rsidP="00082B5B">
            <w:pPr>
              <w:pStyle w:val="Body"/>
            </w:pPr>
            <w:r>
              <w:t xml:space="preserve">Partner, </w:t>
            </w:r>
            <w:r w:rsidRPr="00FA0D71">
              <w:rPr>
                <w:bCs/>
              </w:rPr>
              <w:t>Actuaries &amp; Consultants</w:t>
            </w:r>
          </w:p>
          <w:p w:rsidR="00082B5B" w:rsidRPr="00397403" w:rsidRDefault="00082B5B" w:rsidP="00082B5B">
            <w:pPr>
              <w:pStyle w:val="Body"/>
            </w:pPr>
            <w:r w:rsidRPr="00397403">
              <w:t xml:space="preserve">Deloitte </w:t>
            </w:r>
          </w:p>
          <w:p w:rsidR="00082B5B" w:rsidRDefault="00082B5B" w:rsidP="00082B5B">
            <w:pPr>
              <w:pStyle w:val="Body"/>
            </w:pPr>
            <w:r w:rsidRPr="00FA0D71">
              <w:t>Tel: +61 2 9322 5347</w:t>
            </w:r>
          </w:p>
          <w:p w:rsidR="00082B5B" w:rsidRPr="00397403" w:rsidRDefault="00EA127F" w:rsidP="00082B5B">
            <w:pPr>
              <w:pStyle w:val="Body"/>
            </w:pPr>
            <w:hyperlink r:id="rId17" w:history="1">
              <w:r w:rsidR="00082B5B" w:rsidRPr="00C72CE3">
                <w:rPr>
                  <w:rStyle w:val="Hyperlink"/>
                </w:rPr>
                <w:t>rmason@deloitte.com.au</w:t>
              </w:r>
            </w:hyperlink>
          </w:p>
        </w:tc>
        <w:tc>
          <w:tcPr>
            <w:tcW w:w="3402" w:type="dxa"/>
          </w:tcPr>
          <w:p w:rsidR="00082B5B" w:rsidRPr="00397403" w:rsidRDefault="00A35F83" w:rsidP="00397403">
            <w:pPr>
              <w:pStyle w:val="Body"/>
            </w:pPr>
            <w:r>
              <w:t>Ben Facer</w:t>
            </w:r>
          </w:p>
          <w:p w:rsidR="000813CD" w:rsidRDefault="00082B5B" w:rsidP="00397403">
            <w:pPr>
              <w:pStyle w:val="Body"/>
            </w:pPr>
            <w:r w:rsidRPr="00397403">
              <w:t xml:space="preserve">Partner, Actuaries </w:t>
            </w:r>
            <w:r w:rsidR="000813CD">
              <w:t>&amp;</w:t>
            </w:r>
            <w:r w:rsidRPr="00397403">
              <w:t xml:space="preserve"> Consultants</w:t>
            </w:r>
            <w:r>
              <w:t xml:space="preserve"> </w:t>
            </w:r>
          </w:p>
          <w:p w:rsidR="00082B5B" w:rsidRPr="00397403" w:rsidRDefault="00082B5B" w:rsidP="00397403">
            <w:pPr>
              <w:pStyle w:val="Body"/>
            </w:pPr>
            <w:r w:rsidRPr="00397403">
              <w:t xml:space="preserve">Deloitte </w:t>
            </w:r>
          </w:p>
          <w:p w:rsidR="00082B5B" w:rsidRPr="00397403" w:rsidRDefault="00082B5B" w:rsidP="00397403">
            <w:pPr>
              <w:pStyle w:val="Body"/>
              <w:rPr>
                <w:lang w:val="it-IT"/>
              </w:rPr>
            </w:pPr>
            <w:r w:rsidRPr="00397403">
              <w:rPr>
                <w:lang w:val="it-IT"/>
              </w:rPr>
              <w:t xml:space="preserve">Tel: +61 </w:t>
            </w:r>
            <w:r w:rsidR="00A35F83">
              <w:rPr>
                <w:lang w:val="it-IT"/>
              </w:rPr>
              <w:t>2</w:t>
            </w:r>
            <w:r w:rsidRPr="00397403">
              <w:rPr>
                <w:lang w:val="it-IT"/>
              </w:rPr>
              <w:t xml:space="preserve"> 9</w:t>
            </w:r>
            <w:r w:rsidR="00A35F83">
              <w:rPr>
                <w:lang w:val="it-IT"/>
              </w:rPr>
              <w:t>322</w:t>
            </w:r>
            <w:r w:rsidRPr="00397403">
              <w:rPr>
                <w:lang w:val="it-IT"/>
              </w:rPr>
              <w:t xml:space="preserve"> </w:t>
            </w:r>
            <w:r w:rsidR="00D83A82">
              <w:rPr>
                <w:lang w:val="it-IT"/>
              </w:rPr>
              <w:t>3493</w:t>
            </w:r>
          </w:p>
          <w:p w:rsidR="00082B5B" w:rsidRPr="00397403" w:rsidRDefault="00EA127F" w:rsidP="00397403">
            <w:pPr>
              <w:pStyle w:val="Body"/>
              <w:rPr>
                <w:lang w:val="it-IT"/>
              </w:rPr>
            </w:pPr>
            <w:hyperlink r:id="rId18" w:history="1">
              <w:r w:rsidR="00A35F83" w:rsidRPr="00617A30">
                <w:rPr>
                  <w:rStyle w:val="Hyperlink"/>
                  <w:lang w:val="it-IT"/>
                </w:rPr>
                <w:t>bfacer@deloitte.com.au</w:t>
              </w:r>
            </w:hyperlink>
          </w:p>
          <w:p w:rsidR="00082B5B" w:rsidRDefault="00082B5B" w:rsidP="00854178">
            <w:pPr>
              <w:pStyle w:val="Body"/>
            </w:pPr>
          </w:p>
        </w:tc>
        <w:tc>
          <w:tcPr>
            <w:tcW w:w="2976" w:type="dxa"/>
          </w:tcPr>
          <w:p w:rsidR="00082B5B" w:rsidRPr="004E3862" w:rsidRDefault="00082B5B" w:rsidP="004E3862">
            <w:pPr>
              <w:pStyle w:val="Body"/>
            </w:pPr>
            <w:r w:rsidRPr="004E3862">
              <w:t>Louise Denver</w:t>
            </w:r>
          </w:p>
          <w:p w:rsidR="000813CD" w:rsidRDefault="00082B5B" w:rsidP="004E3862">
            <w:pPr>
              <w:pStyle w:val="Body"/>
            </w:pPr>
            <w:r w:rsidRPr="004E3862">
              <w:t>Director</w:t>
            </w:r>
            <w:r w:rsidR="000813CD">
              <w:t>,</w:t>
            </w:r>
            <w:r w:rsidRPr="004E3862">
              <w:t xml:space="preserve"> Communications &amp; Corporate Affairs</w:t>
            </w:r>
            <w:r>
              <w:t xml:space="preserve"> </w:t>
            </w:r>
          </w:p>
          <w:p w:rsidR="00082B5B" w:rsidRPr="004E3862" w:rsidRDefault="006115CF" w:rsidP="004E3862">
            <w:pPr>
              <w:pStyle w:val="Body"/>
            </w:pPr>
            <w:r>
              <w:t>+</w:t>
            </w:r>
            <w:r w:rsidR="002921C7">
              <w:t>61</w:t>
            </w:r>
            <w:r w:rsidR="00082B5B" w:rsidRPr="004E3862">
              <w:t>414</w:t>
            </w:r>
            <w:r>
              <w:t xml:space="preserve"> </w:t>
            </w:r>
            <w:r w:rsidR="00082B5B" w:rsidRPr="004E3862">
              <w:t>889857</w:t>
            </w:r>
            <w:r w:rsidR="00A35F83">
              <w:t xml:space="preserve"> /</w:t>
            </w:r>
            <w:r w:rsidR="002921C7">
              <w:br/>
            </w:r>
            <w:r w:rsidR="00082B5B" w:rsidRPr="004E3862">
              <w:t>+612 9322 7615</w:t>
            </w:r>
          </w:p>
          <w:p w:rsidR="00082B5B" w:rsidRPr="006C63BE" w:rsidRDefault="00EA127F" w:rsidP="00854178">
            <w:pPr>
              <w:pStyle w:val="Body"/>
            </w:pPr>
            <w:hyperlink r:id="rId19" w:history="1">
              <w:r w:rsidR="00082B5B" w:rsidRPr="00453250">
                <w:rPr>
                  <w:rStyle w:val="Hyperlink"/>
                </w:rPr>
                <w:t>ldenver@deloitte.com.au</w:t>
              </w:r>
            </w:hyperlink>
          </w:p>
        </w:tc>
      </w:tr>
      <w:tr w:rsidR="00082B5B" w:rsidRPr="00AF398E" w:rsidTr="000813CD">
        <w:tc>
          <w:tcPr>
            <w:tcW w:w="3369" w:type="dxa"/>
          </w:tcPr>
          <w:p w:rsidR="00082B5B" w:rsidRPr="00397403" w:rsidRDefault="00082B5B" w:rsidP="00FA0D71">
            <w:pPr>
              <w:pStyle w:val="Body"/>
            </w:pPr>
          </w:p>
        </w:tc>
        <w:tc>
          <w:tcPr>
            <w:tcW w:w="3402" w:type="dxa"/>
          </w:tcPr>
          <w:p w:rsidR="00082B5B" w:rsidRPr="00397403" w:rsidRDefault="00082B5B" w:rsidP="00FA0D71">
            <w:pPr>
              <w:pStyle w:val="Body"/>
            </w:pPr>
          </w:p>
        </w:tc>
        <w:tc>
          <w:tcPr>
            <w:tcW w:w="2976" w:type="dxa"/>
          </w:tcPr>
          <w:p w:rsidR="00082B5B" w:rsidRPr="004E3862" w:rsidRDefault="00082B5B" w:rsidP="004E3862">
            <w:pPr>
              <w:pStyle w:val="Body"/>
            </w:pPr>
          </w:p>
        </w:tc>
      </w:tr>
    </w:tbl>
    <w:p w:rsidR="0071130F" w:rsidRPr="004B07EB" w:rsidRDefault="0071130F" w:rsidP="0071130F">
      <w:pPr>
        <w:pStyle w:val="AboutHead"/>
        <w:rPr>
          <w:sz w:val="18"/>
          <w:szCs w:val="18"/>
        </w:rPr>
      </w:pPr>
      <w:r w:rsidRPr="00F510B5">
        <w:rPr>
          <w:sz w:val="18"/>
          <w:szCs w:val="18"/>
        </w:rPr>
        <w:fldChar w:fldCharType="begin"/>
      </w:r>
      <w:r w:rsidRPr="00F510B5">
        <w:rPr>
          <w:sz w:val="18"/>
          <w:szCs w:val="18"/>
        </w:rPr>
        <w:instrText xml:space="preserve"> INCLUDETEXT  "C:\\Program Files (x86)\\Microsoft Office\\Templates\\Clauses\\MediaReleaseAboutDeloitte.docx"  \* MERGEFORMAT </w:instrText>
      </w:r>
      <w:r w:rsidRPr="00F510B5">
        <w:rPr>
          <w:sz w:val="18"/>
          <w:szCs w:val="18"/>
        </w:rPr>
        <w:fldChar w:fldCharType="separate"/>
      </w:r>
      <w:r w:rsidRPr="004B07EB">
        <w:rPr>
          <w:sz w:val="18"/>
          <w:szCs w:val="18"/>
        </w:rPr>
        <w:t>About Deloitte</w:t>
      </w:r>
    </w:p>
    <w:p w:rsidR="0071130F" w:rsidRPr="004B07EB" w:rsidRDefault="0071130F" w:rsidP="0071130F">
      <w:pPr>
        <w:pStyle w:val="AboutBody"/>
        <w:rPr>
          <w:sz w:val="18"/>
          <w:szCs w:val="18"/>
        </w:rPr>
      </w:pPr>
      <w:r w:rsidRPr="004B07EB">
        <w:rPr>
          <w:sz w:val="18"/>
          <w:szCs w:val="18"/>
        </w:rPr>
        <w:t>Deloitte refers to one or more of Deloitte Touche Tohmatsu Limited, a UK private company limited by guarantee, and its network of member firms, each of which is a legally separate and independent entity. Please see www.deloitte.com/au/about for a detailed description of the legal structure of Deloitte Touche Tohmatsu Limited and its member firms.</w:t>
      </w:r>
    </w:p>
    <w:p w:rsidR="0071130F" w:rsidRPr="004B07EB" w:rsidRDefault="0071130F" w:rsidP="0071130F">
      <w:pPr>
        <w:pStyle w:val="AboutBody"/>
        <w:rPr>
          <w:sz w:val="18"/>
          <w:szCs w:val="18"/>
        </w:rPr>
      </w:pPr>
      <w:r w:rsidRPr="004B07EB">
        <w:rPr>
          <w:sz w:val="18"/>
          <w:szCs w:val="18"/>
        </w:rPr>
        <w:t>Deloitte provides audit, tax, consulting, and financial advisory services to public and private clients spanning multiple industries. With a globally connected network of member firms in more than 150 countries, Deloitte brings world-class capabilities and high-quality service to clients, delivering the insights they need to address their most complex business challenges. Deloitte has in the region of 225,000 professionals, all committed to becoming the standard of excellence.</w:t>
      </w:r>
    </w:p>
    <w:p w:rsidR="0071130F" w:rsidRPr="004B07EB" w:rsidRDefault="0071130F" w:rsidP="0071130F">
      <w:pPr>
        <w:pStyle w:val="AboutHead"/>
        <w:rPr>
          <w:sz w:val="18"/>
          <w:szCs w:val="18"/>
        </w:rPr>
      </w:pPr>
      <w:r w:rsidRPr="004B07EB">
        <w:rPr>
          <w:sz w:val="18"/>
          <w:szCs w:val="18"/>
        </w:rPr>
        <w:t>About Deloitte Australia</w:t>
      </w:r>
    </w:p>
    <w:p w:rsidR="0071130F" w:rsidRPr="004B07EB" w:rsidRDefault="0071130F" w:rsidP="0071130F">
      <w:pPr>
        <w:pStyle w:val="AboutBody"/>
        <w:rPr>
          <w:sz w:val="18"/>
          <w:szCs w:val="18"/>
        </w:rPr>
      </w:pPr>
      <w:r w:rsidRPr="004B07EB">
        <w:rPr>
          <w:sz w:val="18"/>
          <w:szCs w:val="18"/>
        </w:rPr>
        <w:t>In Australia, the member firm is the Australian partnership of Deloitte Touche Tohmatsu. As one of Australia’s leading professional services firms, and winner of both the Australian Financial Review/CFO Audit Firm of the Year and Accounting Firm of the Year awards 2013, Deloitte Touche Tohmatsu and its affiliates provide audit, tax, consulting, and financial advisory services through approximately 6,000 people across the country. Focused on the creation of value and growth, and known as an employer of choice for innovative human resources programs, we are dedicated to helping our clients and our people excel. For more information, please visit Deloitte’s web site at www.deloitte.com.au.</w:t>
      </w:r>
    </w:p>
    <w:p w:rsidR="0071130F" w:rsidRPr="00F539C5" w:rsidRDefault="0071130F" w:rsidP="0071130F">
      <w:pPr>
        <w:pStyle w:val="AboutBody"/>
        <w:spacing w:after="0" w:line="200" w:lineRule="atLeast"/>
        <w:rPr>
          <w:rFonts w:asciiTheme="minorHAnsi" w:hAnsiTheme="minorHAnsi" w:cstheme="minorHAnsi"/>
          <w:sz w:val="16"/>
        </w:rPr>
      </w:pPr>
    </w:p>
    <w:p w:rsidR="0071130F" w:rsidRPr="00660525" w:rsidRDefault="0071130F" w:rsidP="0071130F">
      <w:pPr>
        <w:pStyle w:val="AboutBody"/>
      </w:pPr>
      <w:r w:rsidRPr="00F510B5">
        <w:rPr>
          <w:sz w:val="18"/>
          <w:szCs w:val="18"/>
        </w:rPr>
        <w:fldChar w:fldCharType="end"/>
      </w:r>
      <w:r w:rsidRPr="005A2E86">
        <w:rPr>
          <w:color w:val="auto"/>
          <w:sz w:val="15"/>
        </w:rPr>
        <w:fldChar w:fldCharType="begin"/>
      </w:r>
      <w:r w:rsidRPr="005A2E86">
        <w:instrText xml:space="preserve"> INCLUDETEXT  "C:\\Program Files</w:instrText>
      </w:r>
      <w:r>
        <w:instrText xml:space="preserve"> (x86)</w:instrText>
      </w:r>
      <w:r w:rsidRPr="005A2E86">
        <w:instrText>\\Microsoft Office\\Templates\\Clauses\\LimitedLiability</w:instrText>
      </w:r>
      <w:r>
        <w:instrText>TNR8</w:instrText>
      </w:r>
      <w:r w:rsidRPr="005A2E86">
        <w:instrText xml:space="preserve">.docx"  \* MERGEFORMAT </w:instrText>
      </w:r>
      <w:r w:rsidRPr="005A2E86">
        <w:rPr>
          <w:color w:val="auto"/>
          <w:sz w:val="15"/>
        </w:rPr>
        <w:fldChar w:fldCharType="separate"/>
      </w:r>
      <w:r w:rsidRPr="008E4E58">
        <w:t>Liability limited by a scheme approved under Professional Standards Legislation.</w:t>
      </w:r>
    </w:p>
    <w:p w:rsidR="0071130F" w:rsidRDefault="0071130F" w:rsidP="0071130F">
      <w:pPr>
        <w:pStyle w:val="Legalstatement"/>
      </w:pPr>
      <w:r w:rsidRPr="005A2E86">
        <w:rPr>
          <w:sz w:val="11"/>
        </w:rPr>
        <w:fldChar w:fldCharType="end"/>
      </w:r>
      <w:r>
        <w:t>Member of Deloitte Touche Tohmatsu Limited</w:t>
      </w:r>
    </w:p>
    <w:p w:rsidR="0071130F" w:rsidRDefault="0071130F" w:rsidP="0071130F">
      <w:pPr>
        <w:pStyle w:val="Legalstatement"/>
      </w:pPr>
      <w:r w:rsidRPr="00E2226B">
        <w:t xml:space="preserve">© </w:t>
      </w:r>
      <w:r>
        <w:rPr>
          <w:noProof/>
        </w:rPr>
        <w:t>2015</w:t>
      </w:r>
      <w:r w:rsidRPr="00E2226B">
        <w:t xml:space="preserve"> </w:t>
      </w:r>
      <w:r>
        <w:t>Deloitte Touche Tohmatsu</w:t>
      </w:r>
    </w:p>
    <w:p w:rsidR="0071130F" w:rsidRPr="00006762" w:rsidRDefault="0071130F" w:rsidP="0071130F"/>
    <w:p w:rsidR="0071130F" w:rsidRDefault="0071130F" w:rsidP="0071130F">
      <w:pPr>
        <w:pStyle w:val="AboutHead"/>
        <w:spacing w:before="0"/>
      </w:pPr>
    </w:p>
    <w:p w:rsidR="000813CD" w:rsidRPr="000813CD" w:rsidRDefault="000813CD" w:rsidP="000813CD">
      <w:pPr>
        <w:spacing w:line="240" w:lineRule="auto"/>
        <w:rPr>
          <w:rFonts w:ascii="Times New Roman" w:eastAsia="Times New Roman" w:hAnsi="Times New Roman" w:cs="Times New Roman"/>
          <w:sz w:val="20"/>
          <w:szCs w:val="24"/>
        </w:rPr>
      </w:pPr>
    </w:p>
    <w:p w:rsidR="006674D8" w:rsidRDefault="006674D8" w:rsidP="000813CD">
      <w:pPr>
        <w:pStyle w:val="AboutHead"/>
        <w:spacing w:before="240" w:line="200" w:lineRule="atLeast"/>
      </w:pPr>
    </w:p>
    <w:sectPr w:rsidR="006674D8" w:rsidSect="00BE487E">
      <w:headerReference w:type="even" r:id="rId20"/>
      <w:headerReference w:type="default" r:id="rId21"/>
      <w:footerReference w:type="even" r:id="rId22"/>
      <w:footerReference w:type="default" r:id="rId23"/>
      <w:headerReference w:type="first" r:id="rId24"/>
      <w:footerReference w:type="first" r:id="rId25"/>
      <w:pgSz w:w="11906" w:h="16838"/>
      <w:pgMar w:top="907"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7E" w:rsidRDefault="00BE487E" w:rsidP="00B43AC2">
      <w:pPr>
        <w:spacing w:line="240" w:lineRule="auto"/>
      </w:pPr>
      <w:r>
        <w:separator/>
      </w:r>
    </w:p>
  </w:endnote>
  <w:endnote w:type="continuationSeparator" w:id="0">
    <w:p w:rsidR="00BE487E" w:rsidRDefault="00BE487E" w:rsidP="00B43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0F" w:rsidRDefault="00711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92261"/>
      <w:docPartObj>
        <w:docPartGallery w:val="Page Numbers (Bottom of Page)"/>
        <w:docPartUnique/>
      </w:docPartObj>
    </w:sdtPr>
    <w:sdtEndPr>
      <w:rPr>
        <w:noProof/>
      </w:rPr>
    </w:sdtEndPr>
    <w:sdtContent>
      <w:p w:rsidR="00BE487E" w:rsidRDefault="00BE487E">
        <w:pPr>
          <w:pStyle w:val="Footer"/>
          <w:jc w:val="center"/>
        </w:pPr>
        <w:r>
          <w:fldChar w:fldCharType="begin"/>
        </w:r>
        <w:r>
          <w:instrText xml:space="preserve"> PAGE   \* MERGEFORMAT </w:instrText>
        </w:r>
        <w:r>
          <w:fldChar w:fldCharType="separate"/>
        </w:r>
        <w:r w:rsidR="00EA127F">
          <w:rPr>
            <w:noProof/>
          </w:rPr>
          <w:t>5</w:t>
        </w:r>
        <w:r>
          <w:rPr>
            <w:noProof/>
          </w:rPr>
          <w:fldChar w:fldCharType="end"/>
        </w:r>
      </w:p>
    </w:sdtContent>
  </w:sdt>
  <w:p w:rsidR="00BE487E" w:rsidRDefault="00BE48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0F" w:rsidRDefault="00711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7E" w:rsidRDefault="00BE487E" w:rsidP="00B43AC2">
      <w:pPr>
        <w:spacing w:line="240" w:lineRule="auto"/>
      </w:pPr>
      <w:r>
        <w:separator/>
      </w:r>
    </w:p>
  </w:footnote>
  <w:footnote w:type="continuationSeparator" w:id="0">
    <w:p w:rsidR="00BE487E" w:rsidRDefault="00BE487E" w:rsidP="00B43AC2">
      <w:pPr>
        <w:spacing w:line="240" w:lineRule="auto"/>
      </w:pPr>
      <w:r>
        <w:continuationSeparator/>
      </w:r>
    </w:p>
  </w:footnote>
  <w:footnote w:id="1">
    <w:p w:rsidR="00BE487E" w:rsidRPr="001B332B" w:rsidRDefault="00BE487E" w:rsidP="006115CF">
      <w:pPr>
        <w:pStyle w:val="Body"/>
        <w:rPr>
          <w:sz w:val="18"/>
          <w:szCs w:val="18"/>
        </w:rPr>
      </w:pPr>
      <w:r>
        <w:rPr>
          <w:rStyle w:val="FootnoteReference"/>
        </w:rPr>
        <w:footnoteRef/>
      </w:r>
      <w:r>
        <w:t xml:space="preserve"> </w:t>
      </w:r>
      <w:r w:rsidRPr="001B332B">
        <w:rPr>
          <w:sz w:val="18"/>
          <w:szCs w:val="18"/>
        </w:rPr>
        <w:t>These projections assume no changes in the current legislative environ</w:t>
      </w:r>
      <w:r w:rsidR="00AE3840">
        <w:rPr>
          <w:sz w:val="18"/>
          <w:szCs w:val="18"/>
        </w:rPr>
        <w:t>ment applying to superannuation</w:t>
      </w:r>
      <w:r w:rsidR="002921C7">
        <w:rPr>
          <w:sz w:val="18"/>
          <w:szCs w:val="18"/>
        </w:rPr>
        <w:t>. H</w:t>
      </w:r>
      <w:r w:rsidRPr="001B332B">
        <w:rPr>
          <w:sz w:val="18"/>
          <w:szCs w:val="18"/>
        </w:rPr>
        <w:t>owever, given the current significant debate in the market and government we expect change is likely.</w:t>
      </w:r>
    </w:p>
    <w:p w:rsidR="00BE487E" w:rsidRDefault="00BE487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0F" w:rsidRDefault="007113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0F" w:rsidRDefault="007113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0F" w:rsidRDefault="007113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BC18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37679"/>
    <w:multiLevelType w:val="hybridMultilevel"/>
    <w:tmpl w:val="C4B25D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2396BE5"/>
    <w:multiLevelType w:val="hybridMultilevel"/>
    <w:tmpl w:val="4A029F7E"/>
    <w:lvl w:ilvl="0" w:tplc="7A1028B6">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9E37EC7"/>
    <w:multiLevelType w:val="hybridMultilevel"/>
    <w:tmpl w:val="D464A2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D4A7F34"/>
    <w:multiLevelType w:val="hybridMultilevel"/>
    <w:tmpl w:val="E7E85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203429"/>
    <w:multiLevelType w:val="hybridMultilevel"/>
    <w:tmpl w:val="843ECAA2"/>
    <w:lvl w:ilvl="0" w:tplc="5F942DCC">
      <w:start w:val="1"/>
      <w:numFmt w:val="bullet"/>
      <w:lvlText w:val="•"/>
      <w:lvlJc w:val="left"/>
      <w:pPr>
        <w:tabs>
          <w:tab w:val="num" w:pos="720"/>
        </w:tabs>
        <w:ind w:left="720" w:hanging="360"/>
      </w:pPr>
      <w:rPr>
        <w:rFonts w:ascii="Arial" w:hAnsi="Arial" w:hint="default"/>
      </w:rPr>
    </w:lvl>
    <w:lvl w:ilvl="1" w:tplc="32E266C4" w:tentative="1">
      <w:start w:val="1"/>
      <w:numFmt w:val="bullet"/>
      <w:lvlText w:val="•"/>
      <w:lvlJc w:val="left"/>
      <w:pPr>
        <w:tabs>
          <w:tab w:val="num" w:pos="1440"/>
        </w:tabs>
        <w:ind w:left="1440" w:hanging="360"/>
      </w:pPr>
      <w:rPr>
        <w:rFonts w:ascii="Arial" w:hAnsi="Arial" w:hint="default"/>
      </w:rPr>
    </w:lvl>
    <w:lvl w:ilvl="2" w:tplc="031EEFA6" w:tentative="1">
      <w:start w:val="1"/>
      <w:numFmt w:val="bullet"/>
      <w:lvlText w:val="•"/>
      <w:lvlJc w:val="left"/>
      <w:pPr>
        <w:tabs>
          <w:tab w:val="num" w:pos="2160"/>
        </w:tabs>
        <w:ind w:left="2160" w:hanging="360"/>
      </w:pPr>
      <w:rPr>
        <w:rFonts w:ascii="Arial" w:hAnsi="Arial" w:hint="default"/>
      </w:rPr>
    </w:lvl>
    <w:lvl w:ilvl="3" w:tplc="6C2676C4" w:tentative="1">
      <w:start w:val="1"/>
      <w:numFmt w:val="bullet"/>
      <w:lvlText w:val="•"/>
      <w:lvlJc w:val="left"/>
      <w:pPr>
        <w:tabs>
          <w:tab w:val="num" w:pos="2880"/>
        </w:tabs>
        <w:ind w:left="2880" w:hanging="360"/>
      </w:pPr>
      <w:rPr>
        <w:rFonts w:ascii="Arial" w:hAnsi="Arial" w:hint="default"/>
      </w:rPr>
    </w:lvl>
    <w:lvl w:ilvl="4" w:tplc="9A94CE88" w:tentative="1">
      <w:start w:val="1"/>
      <w:numFmt w:val="bullet"/>
      <w:lvlText w:val="•"/>
      <w:lvlJc w:val="left"/>
      <w:pPr>
        <w:tabs>
          <w:tab w:val="num" w:pos="3600"/>
        </w:tabs>
        <w:ind w:left="3600" w:hanging="360"/>
      </w:pPr>
      <w:rPr>
        <w:rFonts w:ascii="Arial" w:hAnsi="Arial" w:hint="default"/>
      </w:rPr>
    </w:lvl>
    <w:lvl w:ilvl="5" w:tplc="EF88C5D0" w:tentative="1">
      <w:start w:val="1"/>
      <w:numFmt w:val="bullet"/>
      <w:lvlText w:val="•"/>
      <w:lvlJc w:val="left"/>
      <w:pPr>
        <w:tabs>
          <w:tab w:val="num" w:pos="4320"/>
        </w:tabs>
        <w:ind w:left="4320" w:hanging="360"/>
      </w:pPr>
      <w:rPr>
        <w:rFonts w:ascii="Arial" w:hAnsi="Arial" w:hint="default"/>
      </w:rPr>
    </w:lvl>
    <w:lvl w:ilvl="6" w:tplc="3B128012" w:tentative="1">
      <w:start w:val="1"/>
      <w:numFmt w:val="bullet"/>
      <w:lvlText w:val="•"/>
      <w:lvlJc w:val="left"/>
      <w:pPr>
        <w:tabs>
          <w:tab w:val="num" w:pos="5040"/>
        </w:tabs>
        <w:ind w:left="5040" w:hanging="360"/>
      </w:pPr>
      <w:rPr>
        <w:rFonts w:ascii="Arial" w:hAnsi="Arial" w:hint="default"/>
      </w:rPr>
    </w:lvl>
    <w:lvl w:ilvl="7" w:tplc="AFE20F7E" w:tentative="1">
      <w:start w:val="1"/>
      <w:numFmt w:val="bullet"/>
      <w:lvlText w:val="•"/>
      <w:lvlJc w:val="left"/>
      <w:pPr>
        <w:tabs>
          <w:tab w:val="num" w:pos="5760"/>
        </w:tabs>
        <w:ind w:left="5760" w:hanging="360"/>
      </w:pPr>
      <w:rPr>
        <w:rFonts w:ascii="Arial" w:hAnsi="Arial" w:hint="default"/>
      </w:rPr>
    </w:lvl>
    <w:lvl w:ilvl="8" w:tplc="AAC0F442" w:tentative="1">
      <w:start w:val="1"/>
      <w:numFmt w:val="bullet"/>
      <w:lvlText w:val="•"/>
      <w:lvlJc w:val="left"/>
      <w:pPr>
        <w:tabs>
          <w:tab w:val="num" w:pos="6480"/>
        </w:tabs>
        <w:ind w:left="6480" w:hanging="360"/>
      </w:pPr>
      <w:rPr>
        <w:rFonts w:ascii="Arial" w:hAnsi="Arial" w:hint="default"/>
      </w:rPr>
    </w:lvl>
  </w:abstractNum>
  <w:abstractNum w:abstractNumId="6">
    <w:nsid w:val="20A05A43"/>
    <w:multiLevelType w:val="hybridMultilevel"/>
    <w:tmpl w:val="01FA4E56"/>
    <w:lvl w:ilvl="0" w:tplc="D2209604">
      <w:start w:val="3"/>
      <w:numFmt w:val="bullet"/>
      <w:lvlText w:val="•"/>
      <w:lvlJc w:val="left"/>
      <w:pPr>
        <w:ind w:left="720" w:hanging="360"/>
      </w:pPr>
      <w:rPr>
        <w:rFonts w:ascii="Times New Roman" w:eastAsia="Times New Roman" w:hAnsi="Times New Roman" w:cs="Times New Roman" w:hint="default"/>
      </w:rPr>
    </w:lvl>
    <w:lvl w:ilvl="1" w:tplc="D2209604">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EC3223"/>
    <w:multiLevelType w:val="hybridMultilevel"/>
    <w:tmpl w:val="2932E794"/>
    <w:lvl w:ilvl="0" w:tplc="C4CC58E0">
      <w:start w:val="1"/>
      <w:numFmt w:val="bullet"/>
      <w:lvlText w:val="•"/>
      <w:lvlJc w:val="left"/>
      <w:pPr>
        <w:tabs>
          <w:tab w:val="num" w:pos="720"/>
        </w:tabs>
        <w:ind w:left="720" w:hanging="360"/>
      </w:pPr>
      <w:rPr>
        <w:rFonts w:ascii="Arial" w:hAnsi="Arial" w:hint="default"/>
      </w:rPr>
    </w:lvl>
    <w:lvl w:ilvl="1" w:tplc="DC925D80" w:tentative="1">
      <w:start w:val="1"/>
      <w:numFmt w:val="bullet"/>
      <w:lvlText w:val="•"/>
      <w:lvlJc w:val="left"/>
      <w:pPr>
        <w:tabs>
          <w:tab w:val="num" w:pos="1440"/>
        </w:tabs>
        <w:ind w:left="1440" w:hanging="360"/>
      </w:pPr>
      <w:rPr>
        <w:rFonts w:ascii="Arial" w:hAnsi="Arial" w:hint="default"/>
      </w:rPr>
    </w:lvl>
    <w:lvl w:ilvl="2" w:tplc="6EB23B7E" w:tentative="1">
      <w:start w:val="1"/>
      <w:numFmt w:val="bullet"/>
      <w:lvlText w:val="•"/>
      <w:lvlJc w:val="left"/>
      <w:pPr>
        <w:tabs>
          <w:tab w:val="num" w:pos="2160"/>
        </w:tabs>
        <w:ind w:left="2160" w:hanging="360"/>
      </w:pPr>
      <w:rPr>
        <w:rFonts w:ascii="Arial" w:hAnsi="Arial" w:hint="default"/>
      </w:rPr>
    </w:lvl>
    <w:lvl w:ilvl="3" w:tplc="CBD442F6" w:tentative="1">
      <w:start w:val="1"/>
      <w:numFmt w:val="bullet"/>
      <w:lvlText w:val="•"/>
      <w:lvlJc w:val="left"/>
      <w:pPr>
        <w:tabs>
          <w:tab w:val="num" w:pos="2880"/>
        </w:tabs>
        <w:ind w:left="2880" w:hanging="360"/>
      </w:pPr>
      <w:rPr>
        <w:rFonts w:ascii="Arial" w:hAnsi="Arial" w:hint="default"/>
      </w:rPr>
    </w:lvl>
    <w:lvl w:ilvl="4" w:tplc="65ACF7F8" w:tentative="1">
      <w:start w:val="1"/>
      <w:numFmt w:val="bullet"/>
      <w:lvlText w:val="•"/>
      <w:lvlJc w:val="left"/>
      <w:pPr>
        <w:tabs>
          <w:tab w:val="num" w:pos="3600"/>
        </w:tabs>
        <w:ind w:left="3600" w:hanging="360"/>
      </w:pPr>
      <w:rPr>
        <w:rFonts w:ascii="Arial" w:hAnsi="Arial" w:hint="default"/>
      </w:rPr>
    </w:lvl>
    <w:lvl w:ilvl="5" w:tplc="8A9C2E28" w:tentative="1">
      <w:start w:val="1"/>
      <w:numFmt w:val="bullet"/>
      <w:lvlText w:val="•"/>
      <w:lvlJc w:val="left"/>
      <w:pPr>
        <w:tabs>
          <w:tab w:val="num" w:pos="4320"/>
        </w:tabs>
        <w:ind w:left="4320" w:hanging="360"/>
      </w:pPr>
      <w:rPr>
        <w:rFonts w:ascii="Arial" w:hAnsi="Arial" w:hint="default"/>
      </w:rPr>
    </w:lvl>
    <w:lvl w:ilvl="6" w:tplc="01E86B4C" w:tentative="1">
      <w:start w:val="1"/>
      <w:numFmt w:val="bullet"/>
      <w:lvlText w:val="•"/>
      <w:lvlJc w:val="left"/>
      <w:pPr>
        <w:tabs>
          <w:tab w:val="num" w:pos="5040"/>
        </w:tabs>
        <w:ind w:left="5040" w:hanging="360"/>
      </w:pPr>
      <w:rPr>
        <w:rFonts w:ascii="Arial" w:hAnsi="Arial" w:hint="default"/>
      </w:rPr>
    </w:lvl>
    <w:lvl w:ilvl="7" w:tplc="DC6A8F4C" w:tentative="1">
      <w:start w:val="1"/>
      <w:numFmt w:val="bullet"/>
      <w:lvlText w:val="•"/>
      <w:lvlJc w:val="left"/>
      <w:pPr>
        <w:tabs>
          <w:tab w:val="num" w:pos="5760"/>
        </w:tabs>
        <w:ind w:left="5760" w:hanging="360"/>
      </w:pPr>
      <w:rPr>
        <w:rFonts w:ascii="Arial" w:hAnsi="Arial" w:hint="default"/>
      </w:rPr>
    </w:lvl>
    <w:lvl w:ilvl="8" w:tplc="DA3A95D8" w:tentative="1">
      <w:start w:val="1"/>
      <w:numFmt w:val="bullet"/>
      <w:lvlText w:val="•"/>
      <w:lvlJc w:val="left"/>
      <w:pPr>
        <w:tabs>
          <w:tab w:val="num" w:pos="6480"/>
        </w:tabs>
        <w:ind w:left="6480" w:hanging="360"/>
      </w:pPr>
      <w:rPr>
        <w:rFonts w:ascii="Arial" w:hAnsi="Arial" w:hint="default"/>
      </w:rPr>
    </w:lvl>
  </w:abstractNum>
  <w:abstractNum w:abstractNumId="8">
    <w:nsid w:val="2FEA6CD4"/>
    <w:multiLevelType w:val="hybridMultilevel"/>
    <w:tmpl w:val="883CCB1C"/>
    <w:lvl w:ilvl="0" w:tplc="D2209604">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38E7C32"/>
    <w:multiLevelType w:val="hybridMultilevel"/>
    <w:tmpl w:val="EE36263E"/>
    <w:lvl w:ilvl="0" w:tplc="0C09000F">
      <w:start w:val="1"/>
      <w:numFmt w:val="decimal"/>
      <w:lvlText w:val="%1."/>
      <w:lvlJc w:val="left"/>
      <w:pPr>
        <w:ind w:left="720" w:hanging="360"/>
      </w:pPr>
    </w:lvl>
    <w:lvl w:ilvl="1" w:tplc="7D52385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A5D3309"/>
    <w:multiLevelType w:val="hybridMultilevel"/>
    <w:tmpl w:val="2FB236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D854C04"/>
    <w:multiLevelType w:val="hybridMultilevel"/>
    <w:tmpl w:val="DE4CC3F2"/>
    <w:lvl w:ilvl="0" w:tplc="D22096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0300999"/>
    <w:multiLevelType w:val="hybridMultilevel"/>
    <w:tmpl w:val="BB4AB156"/>
    <w:lvl w:ilvl="0" w:tplc="D22096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334313"/>
    <w:multiLevelType w:val="hybridMultilevel"/>
    <w:tmpl w:val="008A0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74E6565"/>
    <w:multiLevelType w:val="hybridMultilevel"/>
    <w:tmpl w:val="5522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4F100B9"/>
    <w:multiLevelType w:val="hybridMultilevel"/>
    <w:tmpl w:val="629EB3AA"/>
    <w:lvl w:ilvl="0" w:tplc="D2209604">
      <w:numFmt w:val="bullet"/>
      <w:lvlText w:val="•"/>
      <w:lvlJc w:val="left"/>
      <w:pPr>
        <w:ind w:left="360" w:hanging="360"/>
      </w:pPr>
      <w:rPr>
        <w:rFonts w:ascii="Times New Roman" w:eastAsia="Times New Roman" w:hAnsi="Times New Roman" w:cs="Times New Roman" w:hint="default"/>
      </w:rPr>
    </w:lvl>
    <w:lvl w:ilvl="1" w:tplc="D2209604">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9EE61E2"/>
    <w:multiLevelType w:val="hybridMultilevel"/>
    <w:tmpl w:val="C8E6D9DC"/>
    <w:lvl w:ilvl="0" w:tplc="D22096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0"/>
  </w:num>
  <w:num w:numId="5">
    <w:abstractNumId w:val="3"/>
  </w:num>
  <w:num w:numId="6">
    <w:abstractNumId w:val="1"/>
  </w:num>
  <w:num w:numId="7">
    <w:abstractNumId w:val="5"/>
  </w:num>
  <w:num w:numId="8">
    <w:abstractNumId w:val="14"/>
  </w:num>
  <w:num w:numId="9">
    <w:abstractNumId w:val="12"/>
  </w:num>
  <w:num w:numId="10">
    <w:abstractNumId w:val="7"/>
  </w:num>
  <w:num w:numId="11">
    <w:abstractNumId w:val="10"/>
  </w:num>
  <w:num w:numId="12">
    <w:abstractNumId w:val="2"/>
  </w:num>
  <w:num w:numId="13">
    <w:abstractNumId w:val="16"/>
  </w:num>
  <w:num w:numId="14">
    <w:abstractNumId w:val="8"/>
  </w:num>
  <w:num w:numId="15">
    <w:abstractNumId w:val="1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C2"/>
    <w:rsid w:val="000225B8"/>
    <w:rsid w:val="0003284A"/>
    <w:rsid w:val="000813CD"/>
    <w:rsid w:val="00082B5B"/>
    <w:rsid w:val="00091C16"/>
    <w:rsid w:val="00093773"/>
    <w:rsid w:val="000B2507"/>
    <w:rsid w:val="000E2F35"/>
    <w:rsid w:val="000E4E93"/>
    <w:rsid w:val="00110254"/>
    <w:rsid w:val="001158C5"/>
    <w:rsid w:val="00124A6C"/>
    <w:rsid w:val="00136BD5"/>
    <w:rsid w:val="00143FA7"/>
    <w:rsid w:val="0017099D"/>
    <w:rsid w:val="00187153"/>
    <w:rsid w:val="001A1516"/>
    <w:rsid w:val="001B332B"/>
    <w:rsid w:val="001C68C5"/>
    <w:rsid w:val="001E66DA"/>
    <w:rsid w:val="00207156"/>
    <w:rsid w:val="00210782"/>
    <w:rsid w:val="00261F46"/>
    <w:rsid w:val="00264237"/>
    <w:rsid w:val="00276187"/>
    <w:rsid w:val="00287F2A"/>
    <w:rsid w:val="002921C7"/>
    <w:rsid w:val="002A0102"/>
    <w:rsid w:val="002B41CA"/>
    <w:rsid w:val="002D7284"/>
    <w:rsid w:val="002E0F57"/>
    <w:rsid w:val="002E5128"/>
    <w:rsid w:val="002E545B"/>
    <w:rsid w:val="002F7068"/>
    <w:rsid w:val="00396078"/>
    <w:rsid w:val="00397403"/>
    <w:rsid w:val="003C2D4F"/>
    <w:rsid w:val="003E2BBB"/>
    <w:rsid w:val="003E677E"/>
    <w:rsid w:val="00400315"/>
    <w:rsid w:val="004262DC"/>
    <w:rsid w:val="0043283D"/>
    <w:rsid w:val="004536BA"/>
    <w:rsid w:val="00460EDA"/>
    <w:rsid w:val="00463E5A"/>
    <w:rsid w:val="00466FC6"/>
    <w:rsid w:val="00496307"/>
    <w:rsid w:val="00497DC1"/>
    <w:rsid w:val="004B024A"/>
    <w:rsid w:val="004D1920"/>
    <w:rsid w:val="004E0C75"/>
    <w:rsid w:val="004E3862"/>
    <w:rsid w:val="004F268D"/>
    <w:rsid w:val="004F42E1"/>
    <w:rsid w:val="004F45CB"/>
    <w:rsid w:val="00500560"/>
    <w:rsid w:val="00590E27"/>
    <w:rsid w:val="005972E2"/>
    <w:rsid w:val="005C2DB4"/>
    <w:rsid w:val="005C599C"/>
    <w:rsid w:val="005C6114"/>
    <w:rsid w:val="006115CF"/>
    <w:rsid w:val="00613683"/>
    <w:rsid w:val="006143A8"/>
    <w:rsid w:val="00621146"/>
    <w:rsid w:val="00624ED1"/>
    <w:rsid w:val="00635B67"/>
    <w:rsid w:val="006500E8"/>
    <w:rsid w:val="006674D8"/>
    <w:rsid w:val="006805CB"/>
    <w:rsid w:val="0069600A"/>
    <w:rsid w:val="006C0170"/>
    <w:rsid w:val="006C25E7"/>
    <w:rsid w:val="006C63BE"/>
    <w:rsid w:val="006E208B"/>
    <w:rsid w:val="0071130F"/>
    <w:rsid w:val="0071546A"/>
    <w:rsid w:val="00750FC1"/>
    <w:rsid w:val="007A0CFF"/>
    <w:rsid w:val="007A65B8"/>
    <w:rsid w:val="007B10DA"/>
    <w:rsid w:val="007E1ACD"/>
    <w:rsid w:val="007E33D4"/>
    <w:rsid w:val="007F20DB"/>
    <w:rsid w:val="00835DB1"/>
    <w:rsid w:val="00842668"/>
    <w:rsid w:val="00851D1E"/>
    <w:rsid w:val="00852E7D"/>
    <w:rsid w:val="00854178"/>
    <w:rsid w:val="00874A86"/>
    <w:rsid w:val="00880335"/>
    <w:rsid w:val="0089140B"/>
    <w:rsid w:val="008968D9"/>
    <w:rsid w:val="008A7B22"/>
    <w:rsid w:val="008B57CA"/>
    <w:rsid w:val="008C07A3"/>
    <w:rsid w:val="008C4AD1"/>
    <w:rsid w:val="008D4CE9"/>
    <w:rsid w:val="008D7523"/>
    <w:rsid w:val="008E73CA"/>
    <w:rsid w:val="0090188C"/>
    <w:rsid w:val="009138E1"/>
    <w:rsid w:val="00913CAC"/>
    <w:rsid w:val="00927276"/>
    <w:rsid w:val="00961BFE"/>
    <w:rsid w:val="0098241F"/>
    <w:rsid w:val="00983C63"/>
    <w:rsid w:val="00985E2F"/>
    <w:rsid w:val="00987EDA"/>
    <w:rsid w:val="009A5250"/>
    <w:rsid w:val="009A647F"/>
    <w:rsid w:val="009B07A8"/>
    <w:rsid w:val="009D3C0F"/>
    <w:rsid w:val="009D747B"/>
    <w:rsid w:val="009E2650"/>
    <w:rsid w:val="009E6322"/>
    <w:rsid w:val="009F1F15"/>
    <w:rsid w:val="009F4EFF"/>
    <w:rsid w:val="00A04BAB"/>
    <w:rsid w:val="00A20ED8"/>
    <w:rsid w:val="00A24142"/>
    <w:rsid w:val="00A321AA"/>
    <w:rsid w:val="00A34436"/>
    <w:rsid w:val="00A35F83"/>
    <w:rsid w:val="00A40349"/>
    <w:rsid w:val="00AD7E6F"/>
    <w:rsid w:val="00AE3840"/>
    <w:rsid w:val="00AF0C50"/>
    <w:rsid w:val="00B03637"/>
    <w:rsid w:val="00B43AC2"/>
    <w:rsid w:val="00BA25E0"/>
    <w:rsid w:val="00BB4C7C"/>
    <w:rsid w:val="00BC2EA4"/>
    <w:rsid w:val="00BD0E2A"/>
    <w:rsid w:val="00BE487E"/>
    <w:rsid w:val="00BF7015"/>
    <w:rsid w:val="00C51D8D"/>
    <w:rsid w:val="00C96AC7"/>
    <w:rsid w:val="00CA7063"/>
    <w:rsid w:val="00CB310F"/>
    <w:rsid w:val="00CB7AF6"/>
    <w:rsid w:val="00CD15A5"/>
    <w:rsid w:val="00CE20D9"/>
    <w:rsid w:val="00CE6B4C"/>
    <w:rsid w:val="00D010EE"/>
    <w:rsid w:val="00D124DE"/>
    <w:rsid w:val="00D2069F"/>
    <w:rsid w:val="00D450C2"/>
    <w:rsid w:val="00D567FB"/>
    <w:rsid w:val="00D83A82"/>
    <w:rsid w:val="00D84D0F"/>
    <w:rsid w:val="00D91780"/>
    <w:rsid w:val="00DA698F"/>
    <w:rsid w:val="00DB496D"/>
    <w:rsid w:val="00DE6182"/>
    <w:rsid w:val="00E1016C"/>
    <w:rsid w:val="00E118F9"/>
    <w:rsid w:val="00E22D3D"/>
    <w:rsid w:val="00E25027"/>
    <w:rsid w:val="00E25B8A"/>
    <w:rsid w:val="00E33D09"/>
    <w:rsid w:val="00E713BB"/>
    <w:rsid w:val="00EA127F"/>
    <w:rsid w:val="00EA1E05"/>
    <w:rsid w:val="00EB5F0E"/>
    <w:rsid w:val="00EC7FA4"/>
    <w:rsid w:val="00ED1264"/>
    <w:rsid w:val="00F03C0A"/>
    <w:rsid w:val="00F123CE"/>
    <w:rsid w:val="00F20963"/>
    <w:rsid w:val="00F223B1"/>
    <w:rsid w:val="00F273F9"/>
    <w:rsid w:val="00F43329"/>
    <w:rsid w:val="00F56BCC"/>
    <w:rsid w:val="00F9194B"/>
    <w:rsid w:val="00FA0D71"/>
    <w:rsid w:val="00FC7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4D8"/>
  </w:style>
  <w:style w:type="paragraph" w:styleId="Heading2">
    <w:name w:val="heading 2"/>
    <w:basedOn w:val="Normal"/>
    <w:next w:val="Normal"/>
    <w:link w:val="Heading2Char"/>
    <w:uiPriority w:val="9"/>
    <w:semiHidden/>
    <w:unhideWhenUsed/>
    <w:qFormat/>
    <w:rsid w:val="008E73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copy"/>
    <w:link w:val="Heading3Char"/>
    <w:qFormat/>
    <w:rsid w:val="009138E1"/>
    <w:pPr>
      <w:keepNext/>
      <w:spacing w:before="240" w:after="120" w:line="240" w:lineRule="auto"/>
      <w:outlineLvl w:val="2"/>
    </w:pPr>
    <w:rPr>
      <w:rFonts w:ascii="Times New Roman" w:eastAsia="Times New Roman" w:hAnsi="Times New Roman" w:cs="Arial"/>
      <w:b/>
      <w:bCs/>
      <w:color w:val="7584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rsid w:val="00B43AC2"/>
    <w:pPr>
      <w:spacing w:line="640" w:lineRule="atLeast"/>
    </w:pPr>
    <w:rPr>
      <w:rFonts w:ascii="Times New Roman" w:eastAsia="Times New Roman" w:hAnsi="Times New Roman" w:cs="Times New Roman"/>
      <w:color w:val="002776"/>
      <w:sz w:val="56"/>
      <w:szCs w:val="24"/>
    </w:rPr>
  </w:style>
  <w:style w:type="paragraph" w:customStyle="1" w:styleId="AHeading">
    <w:name w:val="A Heading"/>
    <w:basedOn w:val="Normal"/>
    <w:rsid w:val="00B43AC2"/>
    <w:pPr>
      <w:spacing w:before="360" w:line="440" w:lineRule="atLeast"/>
    </w:pPr>
    <w:rPr>
      <w:rFonts w:ascii="Times New Roman" w:eastAsia="Times New Roman" w:hAnsi="Times New Roman" w:cs="Times New Roman"/>
      <w:b/>
      <w:sz w:val="40"/>
      <w:szCs w:val="24"/>
    </w:rPr>
  </w:style>
  <w:style w:type="paragraph" w:customStyle="1" w:styleId="Body">
    <w:name w:val="Body"/>
    <w:basedOn w:val="Normal"/>
    <w:rsid w:val="00B43AC2"/>
    <w:pPr>
      <w:spacing w:line="240" w:lineRule="auto"/>
    </w:pPr>
    <w:rPr>
      <w:rFonts w:ascii="Times New Roman" w:eastAsia="Times New Roman" w:hAnsi="Times New Roman" w:cs="Times New Roman"/>
      <w:szCs w:val="20"/>
    </w:rPr>
  </w:style>
  <w:style w:type="paragraph" w:styleId="Header">
    <w:name w:val="header"/>
    <w:basedOn w:val="Normal"/>
    <w:link w:val="HeaderChar"/>
    <w:uiPriority w:val="99"/>
    <w:unhideWhenUsed/>
    <w:rsid w:val="00B43AC2"/>
    <w:pPr>
      <w:tabs>
        <w:tab w:val="center" w:pos="4513"/>
        <w:tab w:val="right" w:pos="9026"/>
      </w:tabs>
      <w:spacing w:line="240" w:lineRule="auto"/>
    </w:pPr>
  </w:style>
  <w:style w:type="character" w:customStyle="1" w:styleId="HeaderChar">
    <w:name w:val="Header Char"/>
    <w:basedOn w:val="DefaultParagraphFont"/>
    <w:link w:val="Header"/>
    <w:uiPriority w:val="99"/>
    <w:rsid w:val="00B43AC2"/>
  </w:style>
  <w:style w:type="paragraph" w:styleId="Footer">
    <w:name w:val="footer"/>
    <w:basedOn w:val="Normal"/>
    <w:link w:val="FooterChar"/>
    <w:uiPriority w:val="99"/>
    <w:unhideWhenUsed/>
    <w:rsid w:val="00B43AC2"/>
    <w:pPr>
      <w:tabs>
        <w:tab w:val="center" w:pos="4513"/>
        <w:tab w:val="right" w:pos="9026"/>
      </w:tabs>
      <w:spacing w:line="240" w:lineRule="auto"/>
    </w:pPr>
  </w:style>
  <w:style w:type="character" w:customStyle="1" w:styleId="FooterChar">
    <w:name w:val="Footer Char"/>
    <w:basedOn w:val="DefaultParagraphFont"/>
    <w:link w:val="Footer"/>
    <w:uiPriority w:val="99"/>
    <w:rsid w:val="00B43AC2"/>
  </w:style>
  <w:style w:type="paragraph" w:customStyle="1" w:styleId="Legalstatement">
    <w:name w:val="Legal statement"/>
    <w:basedOn w:val="Footer"/>
    <w:rsid w:val="00B43AC2"/>
    <w:pPr>
      <w:tabs>
        <w:tab w:val="clear" w:pos="4513"/>
        <w:tab w:val="clear" w:pos="9026"/>
        <w:tab w:val="center" w:pos="4153"/>
        <w:tab w:val="right" w:pos="8306"/>
      </w:tabs>
    </w:pPr>
    <w:rPr>
      <w:rFonts w:ascii="Times New Roman" w:eastAsia="Times New Roman" w:hAnsi="Times New Roman" w:cs="Arial"/>
      <w:color w:val="000000"/>
      <w:sz w:val="16"/>
      <w:szCs w:val="16"/>
    </w:rPr>
  </w:style>
  <w:style w:type="character" w:styleId="Hyperlink">
    <w:name w:val="Hyperlink"/>
    <w:basedOn w:val="DefaultParagraphFont"/>
    <w:rsid w:val="00B43AC2"/>
    <w:rPr>
      <w:color w:val="0000FF"/>
      <w:u w:val="single"/>
    </w:rPr>
  </w:style>
  <w:style w:type="paragraph" w:customStyle="1" w:styleId="AboutHead">
    <w:name w:val="AboutHead"/>
    <w:basedOn w:val="Normal"/>
    <w:qFormat/>
    <w:rsid w:val="00B43AC2"/>
    <w:pPr>
      <w:spacing w:before="60" w:line="240" w:lineRule="auto"/>
    </w:pPr>
    <w:rPr>
      <w:rFonts w:ascii="Times New Roman" w:eastAsia="Times" w:hAnsi="Times New Roman" w:cs="Times New Roman"/>
      <w:b/>
      <w:color w:val="000000" w:themeColor="text1"/>
      <w:sz w:val="20"/>
      <w:szCs w:val="20"/>
      <w:lang w:val="en-GB"/>
    </w:rPr>
  </w:style>
  <w:style w:type="paragraph" w:customStyle="1" w:styleId="AboutBody">
    <w:name w:val="AboutBody"/>
    <w:basedOn w:val="Normal"/>
    <w:qFormat/>
    <w:rsid w:val="00B43AC2"/>
    <w:pPr>
      <w:spacing w:before="60" w:after="60" w:line="240" w:lineRule="auto"/>
    </w:pPr>
    <w:rPr>
      <w:rFonts w:ascii="Times New Roman" w:eastAsia="Times" w:hAnsi="Times New Roman" w:cs="Times New Roman"/>
      <w:color w:val="000000" w:themeColor="text1"/>
      <w:sz w:val="20"/>
      <w:szCs w:val="20"/>
      <w:lang w:val="en-GB"/>
    </w:rPr>
  </w:style>
  <w:style w:type="paragraph" w:customStyle="1" w:styleId="Member">
    <w:name w:val="Member"/>
    <w:basedOn w:val="Legalstatement"/>
    <w:qFormat/>
    <w:rsid w:val="00B43AC2"/>
    <w:pPr>
      <w:tabs>
        <w:tab w:val="clear" w:pos="4153"/>
        <w:tab w:val="clear" w:pos="8306"/>
      </w:tabs>
    </w:pPr>
    <w:rPr>
      <w:rFonts w:ascii="Arial" w:eastAsia="Times" w:hAnsi="Arial"/>
      <w:sz w:val="14"/>
    </w:rPr>
  </w:style>
  <w:style w:type="paragraph" w:styleId="FootnoteText">
    <w:name w:val="footnote text"/>
    <w:basedOn w:val="Normal"/>
    <w:link w:val="FootnoteTextChar"/>
    <w:uiPriority w:val="99"/>
    <w:semiHidden/>
    <w:unhideWhenUsed/>
    <w:rsid w:val="004E3862"/>
    <w:pPr>
      <w:spacing w:line="240" w:lineRule="auto"/>
    </w:pPr>
    <w:rPr>
      <w:sz w:val="20"/>
      <w:szCs w:val="20"/>
    </w:rPr>
  </w:style>
  <w:style w:type="character" w:customStyle="1" w:styleId="FootnoteTextChar">
    <w:name w:val="Footnote Text Char"/>
    <w:basedOn w:val="DefaultParagraphFont"/>
    <w:link w:val="FootnoteText"/>
    <w:uiPriority w:val="99"/>
    <w:semiHidden/>
    <w:rsid w:val="004E3862"/>
    <w:rPr>
      <w:sz w:val="20"/>
      <w:szCs w:val="20"/>
    </w:rPr>
  </w:style>
  <w:style w:type="character" w:styleId="FootnoteReference">
    <w:name w:val="footnote reference"/>
    <w:basedOn w:val="DefaultParagraphFont"/>
    <w:unhideWhenUsed/>
    <w:rsid w:val="004E3862"/>
    <w:rPr>
      <w:vertAlign w:val="superscript"/>
    </w:rPr>
  </w:style>
  <w:style w:type="paragraph" w:customStyle="1" w:styleId="Bodycopy">
    <w:name w:val="Body copy"/>
    <w:basedOn w:val="Normal"/>
    <w:link w:val="BodycopyChar"/>
    <w:rsid w:val="009D3C0F"/>
    <w:pPr>
      <w:spacing w:before="180" w:line="240" w:lineRule="auto"/>
    </w:pPr>
    <w:rPr>
      <w:rFonts w:ascii="Times New Roman" w:eastAsia="Times New Roman" w:hAnsi="Times New Roman" w:cs="Times New Roman"/>
      <w:sz w:val="20"/>
      <w:szCs w:val="20"/>
    </w:rPr>
  </w:style>
  <w:style w:type="character" w:customStyle="1" w:styleId="BodycopyChar">
    <w:name w:val="Body copy Char"/>
    <w:basedOn w:val="DefaultParagraphFont"/>
    <w:link w:val="Bodycopy"/>
    <w:rsid w:val="009D3C0F"/>
    <w:rPr>
      <w:rFonts w:ascii="Times New Roman" w:eastAsia="Times New Roman" w:hAnsi="Times New Roman" w:cs="Times New Roman"/>
      <w:sz w:val="20"/>
      <w:szCs w:val="20"/>
    </w:rPr>
  </w:style>
  <w:style w:type="paragraph" w:styleId="ListBullet">
    <w:name w:val="List Bullet"/>
    <w:basedOn w:val="Normal"/>
    <w:rsid w:val="009D3C0F"/>
    <w:pPr>
      <w:numPr>
        <w:numId w:val="4"/>
      </w:numPr>
      <w:spacing w:before="12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D3C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0F"/>
    <w:rPr>
      <w:rFonts w:ascii="Tahoma" w:hAnsi="Tahoma" w:cs="Tahoma"/>
      <w:sz w:val="16"/>
      <w:szCs w:val="16"/>
    </w:rPr>
  </w:style>
  <w:style w:type="character" w:customStyle="1" w:styleId="Heading3Char">
    <w:name w:val="Heading 3 Char"/>
    <w:basedOn w:val="DefaultParagraphFont"/>
    <w:link w:val="Heading3"/>
    <w:rsid w:val="009138E1"/>
    <w:rPr>
      <w:rFonts w:ascii="Times New Roman" w:eastAsia="Times New Roman" w:hAnsi="Times New Roman" w:cs="Arial"/>
      <w:b/>
      <w:bCs/>
      <w:color w:val="7584BD"/>
      <w:sz w:val="24"/>
      <w:szCs w:val="24"/>
    </w:rPr>
  </w:style>
  <w:style w:type="character" w:styleId="PageNumber">
    <w:name w:val="page number"/>
    <w:basedOn w:val="DefaultParagraphFont"/>
    <w:rsid w:val="001A1516"/>
  </w:style>
  <w:style w:type="character" w:customStyle="1" w:styleId="Heading2Char">
    <w:name w:val="Heading 2 Char"/>
    <w:basedOn w:val="DefaultParagraphFont"/>
    <w:link w:val="Heading2"/>
    <w:uiPriority w:val="9"/>
    <w:semiHidden/>
    <w:rsid w:val="008E73C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D15A5"/>
    <w:pPr>
      <w:ind w:left="720"/>
      <w:contextualSpacing/>
    </w:pPr>
  </w:style>
  <w:style w:type="paragraph" w:styleId="NormalWeb">
    <w:name w:val="Normal (Web)"/>
    <w:basedOn w:val="Normal"/>
    <w:uiPriority w:val="99"/>
    <w:semiHidden/>
    <w:unhideWhenUsed/>
    <w:rsid w:val="00187153"/>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Disclaimer">
    <w:name w:val="Disclaimer"/>
    <w:basedOn w:val="Normal"/>
    <w:rsid w:val="003C2D4F"/>
    <w:pPr>
      <w:spacing w:before="240" w:after="60" w:line="240" w:lineRule="auto"/>
    </w:pPr>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4B024A"/>
    <w:rPr>
      <w:color w:val="800080" w:themeColor="followedHyperlink"/>
      <w:u w:val="single"/>
    </w:rPr>
  </w:style>
  <w:style w:type="character" w:styleId="CommentReference">
    <w:name w:val="annotation reference"/>
    <w:basedOn w:val="DefaultParagraphFont"/>
    <w:uiPriority w:val="99"/>
    <w:semiHidden/>
    <w:unhideWhenUsed/>
    <w:rsid w:val="002921C7"/>
    <w:rPr>
      <w:sz w:val="16"/>
      <w:szCs w:val="16"/>
    </w:rPr>
  </w:style>
  <w:style w:type="paragraph" w:styleId="CommentText">
    <w:name w:val="annotation text"/>
    <w:basedOn w:val="Normal"/>
    <w:link w:val="CommentTextChar"/>
    <w:uiPriority w:val="99"/>
    <w:semiHidden/>
    <w:unhideWhenUsed/>
    <w:rsid w:val="002921C7"/>
    <w:pPr>
      <w:spacing w:line="240" w:lineRule="auto"/>
    </w:pPr>
    <w:rPr>
      <w:sz w:val="20"/>
      <w:szCs w:val="20"/>
    </w:rPr>
  </w:style>
  <w:style w:type="character" w:customStyle="1" w:styleId="CommentTextChar">
    <w:name w:val="Comment Text Char"/>
    <w:basedOn w:val="DefaultParagraphFont"/>
    <w:link w:val="CommentText"/>
    <w:uiPriority w:val="99"/>
    <w:semiHidden/>
    <w:rsid w:val="002921C7"/>
    <w:rPr>
      <w:sz w:val="20"/>
      <w:szCs w:val="20"/>
    </w:rPr>
  </w:style>
  <w:style w:type="paragraph" w:styleId="CommentSubject">
    <w:name w:val="annotation subject"/>
    <w:basedOn w:val="CommentText"/>
    <w:next w:val="CommentText"/>
    <w:link w:val="CommentSubjectChar"/>
    <w:uiPriority w:val="99"/>
    <w:semiHidden/>
    <w:unhideWhenUsed/>
    <w:rsid w:val="002921C7"/>
    <w:rPr>
      <w:b/>
      <w:bCs/>
    </w:rPr>
  </w:style>
  <w:style w:type="character" w:customStyle="1" w:styleId="CommentSubjectChar">
    <w:name w:val="Comment Subject Char"/>
    <w:basedOn w:val="CommentTextChar"/>
    <w:link w:val="CommentSubject"/>
    <w:uiPriority w:val="99"/>
    <w:semiHidden/>
    <w:rsid w:val="002921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4D8"/>
  </w:style>
  <w:style w:type="paragraph" w:styleId="Heading2">
    <w:name w:val="heading 2"/>
    <w:basedOn w:val="Normal"/>
    <w:next w:val="Normal"/>
    <w:link w:val="Heading2Char"/>
    <w:uiPriority w:val="9"/>
    <w:semiHidden/>
    <w:unhideWhenUsed/>
    <w:qFormat/>
    <w:rsid w:val="008E73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copy"/>
    <w:link w:val="Heading3Char"/>
    <w:qFormat/>
    <w:rsid w:val="009138E1"/>
    <w:pPr>
      <w:keepNext/>
      <w:spacing w:before="240" w:after="120" w:line="240" w:lineRule="auto"/>
      <w:outlineLvl w:val="2"/>
    </w:pPr>
    <w:rPr>
      <w:rFonts w:ascii="Times New Roman" w:eastAsia="Times New Roman" w:hAnsi="Times New Roman" w:cs="Arial"/>
      <w:b/>
      <w:bCs/>
      <w:color w:val="7584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rsid w:val="00B43AC2"/>
    <w:pPr>
      <w:spacing w:line="640" w:lineRule="atLeast"/>
    </w:pPr>
    <w:rPr>
      <w:rFonts w:ascii="Times New Roman" w:eastAsia="Times New Roman" w:hAnsi="Times New Roman" w:cs="Times New Roman"/>
      <w:color w:val="002776"/>
      <w:sz w:val="56"/>
      <w:szCs w:val="24"/>
    </w:rPr>
  </w:style>
  <w:style w:type="paragraph" w:customStyle="1" w:styleId="AHeading">
    <w:name w:val="A Heading"/>
    <w:basedOn w:val="Normal"/>
    <w:rsid w:val="00B43AC2"/>
    <w:pPr>
      <w:spacing w:before="360" w:line="440" w:lineRule="atLeast"/>
    </w:pPr>
    <w:rPr>
      <w:rFonts w:ascii="Times New Roman" w:eastAsia="Times New Roman" w:hAnsi="Times New Roman" w:cs="Times New Roman"/>
      <w:b/>
      <w:sz w:val="40"/>
      <w:szCs w:val="24"/>
    </w:rPr>
  </w:style>
  <w:style w:type="paragraph" w:customStyle="1" w:styleId="Body">
    <w:name w:val="Body"/>
    <w:basedOn w:val="Normal"/>
    <w:rsid w:val="00B43AC2"/>
    <w:pPr>
      <w:spacing w:line="240" w:lineRule="auto"/>
    </w:pPr>
    <w:rPr>
      <w:rFonts w:ascii="Times New Roman" w:eastAsia="Times New Roman" w:hAnsi="Times New Roman" w:cs="Times New Roman"/>
      <w:szCs w:val="20"/>
    </w:rPr>
  </w:style>
  <w:style w:type="paragraph" w:styleId="Header">
    <w:name w:val="header"/>
    <w:basedOn w:val="Normal"/>
    <w:link w:val="HeaderChar"/>
    <w:uiPriority w:val="99"/>
    <w:unhideWhenUsed/>
    <w:rsid w:val="00B43AC2"/>
    <w:pPr>
      <w:tabs>
        <w:tab w:val="center" w:pos="4513"/>
        <w:tab w:val="right" w:pos="9026"/>
      </w:tabs>
      <w:spacing w:line="240" w:lineRule="auto"/>
    </w:pPr>
  </w:style>
  <w:style w:type="character" w:customStyle="1" w:styleId="HeaderChar">
    <w:name w:val="Header Char"/>
    <w:basedOn w:val="DefaultParagraphFont"/>
    <w:link w:val="Header"/>
    <w:uiPriority w:val="99"/>
    <w:rsid w:val="00B43AC2"/>
  </w:style>
  <w:style w:type="paragraph" w:styleId="Footer">
    <w:name w:val="footer"/>
    <w:basedOn w:val="Normal"/>
    <w:link w:val="FooterChar"/>
    <w:uiPriority w:val="99"/>
    <w:unhideWhenUsed/>
    <w:rsid w:val="00B43AC2"/>
    <w:pPr>
      <w:tabs>
        <w:tab w:val="center" w:pos="4513"/>
        <w:tab w:val="right" w:pos="9026"/>
      </w:tabs>
      <w:spacing w:line="240" w:lineRule="auto"/>
    </w:pPr>
  </w:style>
  <w:style w:type="character" w:customStyle="1" w:styleId="FooterChar">
    <w:name w:val="Footer Char"/>
    <w:basedOn w:val="DefaultParagraphFont"/>
    <w:link w:val="Footer"/>
    <w:uiPriority w:val="99"/>
    <w:rsid w:val="00B43AC2"/>
  </w:style>
  <w:style w:type="paragraph" w:customStyle="1" w:styleId="Legalstatement">
    <w:name w:val="Legal statement"/>
    <w:basedOn w:val="Footer"/>
    <w:rsid w:val="00B43AC2"/>
    <w:pPr>
      <w:tabs>
        <w:tab w:val="clear" w:pos="4513"/>
        <w:tab w:val="clear" w:pos="9026"/>
        <w:tab w:val="center" w:pos="4153"/>
        <w:tab w:val="right" w:pos="8306"/>
      </w:tabs>
    </w:pPr>
    <w:rPr>
      <w:rFonts w:ascii="Times New Roman" w:eastAsia="Times New Roman" w:hAnsi="Times New Roman" w:cs="Arial"/>
      <w:color w:val="000000"/>
      <w:sz w:val="16"/>
      <w:szCs w:val="16"/>
    </w:rPr>
  </w:style>
  <w:style w:type="character" w:styleId="Hyperlink">
    <w:name w:val="Hyperlink"/>
    <w:basedOn w:val="DefaultParagraphFont"/>
    <w:rsid w:val="00B43AC2"/>
    <w:rPr>
      <w:color w:val="0000FF"/>
      <w:u w:val="single"/>
    </w:rPr>
  </w:style>
  <w:style w:type="paragraph" w:customStyle="1" w:styleId="AboutHead">
    <w:name w:val="AboutHead"/>
    <w:basedOn w:val="Normal"/>
    <w:qFormat/>
    <w:rsid w:val="00B43AC2"/>
    <w:pPr>
      <w:spacing w:before="60" w:line="240" w:lineRule="auto"/>
    </w:pPr>
    <w:rPr>
      <w:rFonts w:ascii="Times New Roman" w:eastAsia="Times" w:hAnsi="Times New Roman" w:cs="Times New Roman"/>
      <w:b/>
      <w:color w:val="000000" w:themeColor="text1"/>
      <w:sz w:val="20"/>
      <w:szCs w:val="20"/>
      <w:lang w:val="en-GB"/>
    </w:rPr>
  </w:style>
  <w:style w:type="paragraph" w:customStyle="1" w:styleId="AboutBody">
    <w:name w:val="AboutBody"/>
    <w:basedOn w:val="Normal"/>
    <w:qFormat/>
    <w:rsid w:val="00B43AC2"/>
    <w:pPr>
      <w:spacing w:before="60" w:after="60" w:line="240" w:lineRule="auto"/>
    </w:pPr>
    <w:rPr>
      <w:rFonts w:ascii="Times New Roman" w:eastAsia="Times" w:hAnsi="Times New Roman" w:cs="Times New Roman"/>
      <w:color w:val="000000" w:themeColor="text1"/>
      <w:sz w:val="20"/>
      <w:szCs w:val="20"/>
      <w:lang w:val="en-GB"/>
    </w:rPr>
  </w:style>
  <w:style w:type="paragraph" w:customStyle="1" w:styleId="Member">
    <w:name w:val="Member"/>
    <w:basedOn w:val="Legalstatement"/>
    <w:qFormat/>
    <w:rsid w:val="00B43AC2"/>
    <w:pPr>
      <w:tabs>
        <w:tab w:val="clear" w:pos="4153"/>
        <w:tab w:val="clear" w:pos="8306"/>
      </w:tabs>
    </w:pPr>
    <w:rPr>
      <w:rFonts w:ascii="Arial" w:eastAsia="Times" w:hAnsi="Arial"/>
      <w:sz w:val="14"/>
    </w:rPr>
  </w:style>
  <w:style w:type="paragraph" w:styleId="FootnoteText">
    <w:name w:val="footnote text"/>
    <w:basedOn w:val="Normal"/>
    <w:link w:val="FootnoteTextChar"/>
    <w:uiPriority w:val="99"/>
    <w:semiHidden/>
    <w:unhideWhenUsed/>
    <w:rsid w:val="004E3862"/>
    <w:pPr>
      <w:spacing w:line="240" w:lineRule="auto"/>
    </w:pPr>
    <w:rPr>
      <w:sz w:val="20"/>
      <w:szCs w:val="20"/>
    </w:rPr>
  </w:style>
  <w:style w:type="character" w:customStyle="1" w:styleId="FootnoteTextChar">
    <w:name w:val="Footnote Text Char"/>
    <w:basedOn w:val="DefaultParagraphFont"/>
    <w:link w:val="FootnoteText"/>
    <w:uiPriority w:val="99"/>
    <w:semiHidden/>
    <w:rsid w:val="004E3862"/>
    <w:rPr>
      <w:sz w:val="20"/>
      <w:szCs w:val="20"/>
    </w:rPr>
  </w:style>
  <w:style w:type="character" w:styleId="FootnoteReference">
    <w:name w:val="footnote reference"/>
    <w:basedOn w:val="DefaultParagraphFont"/>
    <w:unhideWhenUsed/>
    <w:rsid w:val="004E3862"/>
    <w:rPr>
      <w:vertAlign w:val="superscript"/>
    </w:rPr>
  </w:style>
  <w:style w:type="paragraph" w:customStyle="1" w:styleId="Bodycopy">
    <w:name w:val="Body copy"/>
    <w:basedOn w:val="Normal"/>
    <w:link w:val="BodycopyChar"/>
    <w:rsid w:val="009D3C0F"/>
    <w:pPr>
      <w:spacing w:before="180" w:line="240" w:lineRule="auto"/>
    </w:pPr>
    <w:rPr>
      <w:rFonts w:ascii="Times New Roman" w:eastAsia="Times New Roman" w:hAnsi="Times New Roman" w:cs="Times New Roman"/>
      <w:sz w:val="20"/>
      <w:szCs w:val="20"/>
    </w:rPr>
  </w:style>
  <w:style w:type="character" w:customStyle="1" w:styleId="BodycopyChar">
    <w:name w:val="Body copy Char"/>
    <w:basedOn w:val="DefaultParagraphFont"/>
    <w:link w:val="Bodycopy"/>
    <w:rsid w:val="009D3C0F"/>
    <w:rPr>
      <w:rFonts w:ascii="Times New Roman" w:eastAsia="Times New Roman" w:hAnsi="Times New Roman" w:cs="Times New Roman"/>
      <w:sz w:val="20"/>
      <w:szCs w:val="20"/>
    </w:rPr>
  </w:style>
  <w:style w:type="paragraph" w:styleId="ListBullet">
    <w:name w:val="List Bullet"/>
    <w:basedOn w:val="Normal"/>
    <w:rsid w:val="009D3C0F"/>
    <w:pPr>
      <w:numPr>
        <w:numId w:val="4"/>
      </w:numPr>
      <w:spacing w:before="12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D3C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0F"/>
    <w:rPr>
      <w:rFonts w:ascii="Tahoma" w:hAnsi="Tahoma" w:cs="Tahoma"/>
      <w:sz w:val="16"/>
      <w:szCs w:val="16"/>
    </w:rPr>
  </w:style>
  <w:style w:type="character" w:customStyle="1" w:styleId="Heading3Char">
    <w:name w:val="Heading 3 Char"/>
    <w:basedOn w:val="DefaultParagraphFont"/>
    <w:link w:val="Heading3"/>
    <w:rsid w:val="009138E1"/>
    <w:rPr>
      <w:rFonts w:ascii="Times New Roman" w:eastAsia="Times New Roman" w:hAnsi="Times New Roman" w:cs="Arial"/>
      <w:b/>
      <w:bCs/>
      <w:color w:val="7584BD"/>
      <w:sz w:val="24"/>
      <w:szCs w:val="24"/>
    </w:rPr>
  </w:style>
  <w:style w:type="character" w:styleId="PageNumber">
    <w:name w:val="page number"/>
    <w:basedOn w:val="DefaultParagraphFont"/>
    <w:rsid w:val="001A1516"/>
  </w:style>
  <w:style w:type="character" w:customStyle="1" w:styleId="Heading2Char">
    <w:name w:val="Heading 2 Char"/>
    <w:basedOn w:val="DefaultParagraphFont"/>
    <w:link w:val="Heading2"/>
    <w:uiPriority w:val="9"/>
    <w:semiHidden/>
    <w:rsid w:val="008E73C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D15A5"/>
    <w:pPr>
      <w:ind w:left="720"/>
      <w:contextualSpacing/>
    </w:pPr>
  </w:style>
  <w:style w:type="paragraph" w:styleId="NormalWeb">
    <w:name w:val="Normal (Web)"/>
    <w:basedOn w:val="Normal"/>
    <w:uiPriority w:val="99"/>
    <w:semiHidden/>
    <w:unhideWhenUsed/>
    <w:rsid w:val="00187153"/>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Disclaimer">
    <w:name w:val="Disclaimer"/>
    <w:basedOn w:val="Normal"/>
    <w:rsid w:val="003C2D4F"/>
    <w:pPr>
      <w:spacing w:before="240" w:after="60" w:line="240" w:lineRule="auto"/>
    </w:pPr>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4B024A"/>
    <w:rPr>
      <w:color w:val="800080" w:themeColor="followedHyperlink"/>
      <w:u w:val="single"/>
    </w:rPr>
  </w:style>
  <w:style w:type="character" w:styleId="CommentReference">
    <w:name w:val="annotation reference"/>
    <w:basedOn w:val="DefaultParagraphFont"/>
    <w:uiPriority w:val="99"/>
    <w:semiHidden/>
    <w:unhideWhenUsed/>
    <w:rsid w:val="002921C7"/>
    <w:rPr>
      <w:sz w:val="16"/>
      <w:szCs w:val="16"/>
    </w:rPr>
  </w:style>
  <w:style w:type="paragraph" w:styleId="CommentText">
    <w:name w:val="annotation text"/>
    <w:basedOn w:val="Normal"/>
    <w:link w:val="CommentTextChar"/>
    <w:uiPriority w:val="99"/>
    <w:semiHidden/>
    <w:unhideWhenUsed/>
    <w:rsid w:val="002921C7"/>
    <w:pPr>
      <w:spacing w:line="240" w:lineRule="auto"/>
    </w:pPr>
    <w:rPr>
      <w:sz w:val="20"/>
      <w:szCs w:val="20"/>
    </w:rPr>
  </w:style>
  <w:style w:type="character" w:customStyle="1" w:styleId="CommentTextChar">
    <w:name w:val="Comment Text Char"/>
    <w:basedOn w:val="DefaultParagraphFont"/>
    <w:link w:val="CommentText"/>
    <w:uiPriority w:val="99"/>
    <w:semiHidden/>
    <w:rsid w:val="002921C7"/>
    <w:rPr>
      <w:sz w:val="20"/>
      <w:szCs w:val="20"/>
    </w:rPr>
  </w:style>
  <w:style w:type="paragraph" w:styleId="CommentSubject">
    <w:name w:val="annotation subject"/>
    <w:basedOn w:val="CommentText"/>
    <w:next w:val="CommentText"/>
    <w:link w:val="CommentSubjectChar"/>
    <w:uiPriority w:val="99"/>
    <w:semiHidden/>
    <w:unhideWhenUsed/>
    <w:rsid w:val="002921C7"/>
    <w:rPr>
      <w:b/>
      <w:bCs/>
    </w:rPr>
  </w:style>
  <w:style w:type="character" w:customStyle="1" w:styleId="CommentSubjectChar">
    <w:name w:val="Comment Subject Char"/>
    <w:basedOn w:val="CommentTextChar"/>
    <w:link w:val="CommentSubject"/>
    <w:uiPriority w:val="99"/>
    <w:semiHidden/>
    <w:rsid w:val="00292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50">
      <w:bodyDiv w:val="1"/>
      <w:marLeft w:val="0"/>
      <w:marRight w:val="0"/>
      <w:marTop w:val="0"/>
      <w:marBottom w:val="0"/>
      <w:divBdr>
        <w:top w:val="none" w:sz="0" w:space="0" w:color="auto"/>
        <w:left w:val="none" w:sz="0" w:space="0" w:color="auto"/>
        <w:bottom w:val="none" w:sz="0" w:space="0" w:color="auto"/>
        <w:right w:val="none" w:sz="0" w:space="0" w:color="auto"/>
      </w:divBdr>
      <w:divsChild>
        <w:div w:id="2028364214">
          <w:marLeft w:val="432"/>
          <w:marRight w:val="0"/>
          <w:marTop w:val="240"/>
          <w:marBottom w:val="0"/>
          <w:divBdr>
            <w:top w:val="none" w:sz="0" w:space="0" w:color="auto"/>
            <w:left w:val="none" w:sz="0" w:space="0" w:color="auto"/>
            <w:bottom w:val="none" w:sz="0" w:space="0" w:color="auto"/>
            <w:right w:val="none" w:sz="0" w:space="0" w:color="auto"/>
          </w:divBdr>
        </w:div>
        <w:div w:id="1787044798">
          <w:marLeft w:val="432"/>
          <w:marRight w:val="0"/>
          <w:marTop w:val="240"/>
          <w:marBottom w:val="0"/>
          <w:divBdr>
            <w:top w:val="none" w:sz="0" w:space="0" w:color="auto"/>
            <w:left w:val="none" w:sz="0" w:space="0" w:color="auto"/>
            <w:bottom w:val="none" w:sz="0" w:space="0" w:color="auto"/>
            <w:right w:val="none" w:sz="0" w:space="0" w:color="auto"/>
          </w:divBdr>
        </w:div>
        <w:div w:id="1656716738">
          <w:marLeft w:val="432"/>
          <w:marRight w:val="0"/>
          <w:marTop w:val="240"/>
          <w:marBottom w:val="0"/>
          <w:divBdr>
            <w:top w:val="none" w:sz="0" w:space="0" w:color="auto"/>
            <w:left w:val="none" w:sz="0" w:space="0" w:color="auto"/>
            <w:bottom w:val="none" w:sz="0" w:space="0" w:color="auto"/>
            <w:right w:val="none" w:sz="0" w:space="0" w:color="auto"/>
          </w:divBdr>
        </w:div>
        <w:div w:id="1711301888">
          <w:marLeft w:val="432"/>
          <w:marRight w:val="0"/>
          <w:marTop w:val="240"/>
          <w:marBottom w:val="0"/>
          <w:divBdr>
            <w:top w:val="none" w:sz="0" w:space="0" w:color="auto"/>
            <w:left w:val="none" w:sz="0" w:space="0" w:color="auto"/>
            <w:bottom w:val="none" w:sz="0" w:space="0" w:color="auto"/>
            <w:right w:val="none" w:sz="0" w:space="0" w:color="auto"/>
          </w:divBdr>
        </w:div>
        <w:div w:id="1409959456">
          <w:marLeft w:val="432"/>
          <w:marRight w:val="0"/>
          <w:marTop w:val="240"/>
          <w:marBottom w:val="0"/>
          <w:divBdr>
            <w:top w:val="none" w:sz="0" w:space="0" w:color="auto"/>
            <w:left w:val="none" w:sz="0" w:space="0" w:color="auto"/>
            <w:bottom w:val="none" w:sz="0" w:space="0" w:color="auto"/>
            <w:right w:val="none" w:sz="0" w:space="0" w:color="auto"/>
          </w:divBdr>
        </w:div>
        <w:div w:id="1973752079">
          <w:marLeft w:val="432"/>
          <w:marRight w:val="0"/>
          <w:marTop w:val="240"/>
          <w:marBottom w:val="0"/>
          <w:divBdr>
            <w:top w:val="none" w:sz="0" w:space="0" w:color="auto"/>
            <w:left w:val="none" w:sz="0" w:space="0" w:color="auto"/>
            <w:bottom w:val="none" w:sz="0" w:space="0" w:color="auto"/>
            <w:right w:val="none" w:sz="0" w:space="0" w:color="auto"/>
          </w:divBdr>
        </w:div>
        <w:div w:id="932930156">
          <w:marLeft w:val="432"/>
          <w:marRight w:val="0"/>
          <w:marTop w:val="240"/>
          <w:marBottom w:val="0"/>
          <w:divBdr>
            <w:top w:val="none" w:sz="0" w:space="0" w:color="auto"/>
            <w:left w:val="none" w:sz="0" w:space="0" w:color="auto"/>
            <w:bottom w:val="none" w:sz="0" w:space="0" w:color="auto"/>
            <w:right w:val="none" w:sz="0" w:space="0" w:color="auto"/>
          </w:divBdr>
        </w:div>
      </w:divsChild>
    </w:div>
    <w:div w:id="48767800">
      <w:bodyDiv w:val="1"/>
      <w:marLeft w:val="0"/>
      <w:marRight w:val="0"/>
      <w:marTop w:val="0"/>
      <w:marBottom w:val="0"/>
      <w:divBdr>
        <w:top w:val="none" w:sz="0" w:space="0" w:color="auto"/>
        <w:left w:val="none" w:sz="0" w:space="0" w:color="auto"/>
        <w:bottom w:val="none" w:sz="0" w:space="0" w:color="auto"/>
        <w:right w:val="none" w:sz="0" w:space="0" w:color="auto"/>
      </w:divBdr>
    </w:div>
    <w:div w:id="545872501">
      <w:bodyDiv w:val="1"/>
      <w:marLeft w:val="0"/>
      <w:marRight w:val="0"/>
      <w:marTop w:val="0"/>
      <w:marBottom w:val="0"/>
      <w:divBdr>
        <w:top w:val="none" w:sz="0" w:space="0" w:color="auto"/>
        <w:left w:val="none" w:sz="0" w:space="0" w:color="auto"/>
        <w:bottom w:val="none" w:sz="0" w:space="0" w:color="auto"/>
        <w:right w:val="none" w:sz="0" w:space="0" w:color="auto"/>
      </w:divBdr>
    </w:div>
    <w:div w:id="698090847">
      <w:bodyDiv w:val="1"/>
      <w:marLeft w:val="0"/>
      <w:marRight w:val="0"/>
      <w:marTop w:val="0"/>
      <w:marBottom w:val="0"/>
      <w:divBdr>
        <w:top w:val="none" w:sz="0" w:space="0" w:color="auto"/>
        <w:left w:val="none" w:sz="0" w:space="0" w:color="auto"/>
        <w:bottom w:val="none" w:sz="0" w:space="0" w:color="auto"/>
        <w:right w:val="none" w:sz="0" w:space="0" w:color="auto"/>
      </w:divBdr>
    </w:div>
    <w:div w:id="1280841329">
      <w:bodyDiv w:val="1"/>
      <w:marLeft w:val="0"/>
      <w:marRight w:val="0"/>
      <w:marTop w:val="0"/>
      <w:marBottom w:val="0"/>
      <w:divBdr>
        <w:top w:val="none" w:sz="0" w:space="0" w:color="auto"/>
        <w:left w:val="none" w:sz="0" w:space="0" w:color="auto"/>
        <w:bottom w:val="none" w:sz="0" w:space="0" w:color="auto"/>
        <w:right w:val="none" w:sz="0" w:space="0" w:color="auto"/>
      </w:divBdr>
      <w:divsChild>
        <w:div w:id="1368065011">
          <w:marLeft w:val="432"/>
          <w:marRight w:val="0"/>
          <w:marTop w:val="240"/>
          <w:marBottom w:val="0"/>
          <w:divBdr>
            <w:top w:val="none" w:sz="0" w:space="0" w:color="auto"/>
            <w:left w:val="none" w:sz="0" w:space="0" w:color="auto"/>
            <w:bottom w:val="none" w:sz="0" w:space="0" w:color="auto"/>
            <w:right w:val="none" w:sz="0" w:space="0" w:color="auto"/>
          </w:divBdr>
        </w:div>
        <w:div w:id="2116168634">
          <w:marLeft w:val="432"/>
          <w:marRight w:val="0"/>
          <w:marTop w:val="240"/>
          <w:marBottom w:val="0"/>
          <w:divBdr>
            <w:top w:val="none" w:sz="0" w:space="0" w:color="auto"/>
            <w:left w:val="none" w:sz="0" w:space="0" w:color="auto"/>
            <w:bottom w:val="none" w:sz="0" w:space="0" w:color="auto"/>
            <w:right w:val="none" w:sz="0" w:space="0" w:color="auto"/>
          </w:divBdr>
        </w:div>
        <w:div w:id="1338263063">
          <w:marLeft w:val="432"/>
          <w:marRight w:val="0"/>
          <w:marTop w:val="240"/>
          <w:marBottom w:val="0"/>
          <w:divBdr>
            <w:top w:val="none" w:sz="0" w:space="0" w:color="auto"/>
            <w:left w:val="none" w:sz="0" w:space="0" w:color="auto"/>
            <w:bottom w:val="none" w:sz="0" w:space="0" w:color="auto"/>
            <w:right w:val="none" w:sz="0" w:space="0" w:color="auto"/>
          </w:divBdr>
        </w:div>
        <w:div w:id="647248126">
          <w:marLeft w:val="432"/>
          <w:marRight w:val="0"/>
          <w:marTop w:val="240"/>
          <w:marBottom w:val="0"/>
          <w:divBdr>
            <w:top w:val="none" w:sz="0" w:space="0" w:color="auto"/>
            <w:left w:val="none" w:sz="0" w:space="0" w:color="auto"/>
            <w:bottom w:val="none" w:sz="0" w:space="0" w:color="auto"/>
            <w:right w:val="none" w:sz="0" w:space="0" w:color="auto"/>
          </w:divBdr>
        </w:div>
        <w:div w:id="2120487114">
          <w:marLeft w:val="432"/>
          <w:marRight w:val="0"/>
          <w:marTop w:val="240"/>
          <w:marBottom w:val="0"/>
          <w:divBdr>
            <w:top w:val="none" w:sz="0" w:space="0" w:color="auto"/>
            <w:left w:val="none" w:sz="0" w:space="0" w:color="auto"/>
            <w:bottom w:val="none" w:sz="0" w:space="0" w:color="auto"/>
            <w:right w:val="none" w:sz="0" w:space="0" w:color="auto"/>
          </w:divBdr>
        </w:div>
        <w:div w:id="1440832167">
          <w:marLeft w:val="432"/>
          <w:marRight w:val="0"/>
          <w:marTop w:val="240"/>
          <w:marBottom w:val="0"/>
          <w:divBdr>
            <w:top w:val="none" w:sz="0" w:space="0" w:color="auto"/>
            <w:left w:val="none" w:sz="0" w:space="0" w:color="auto"/>
            <w:bottom w:val="none" w:sz="0" w:space="0" w:color="auto"/>
            <w:right w:val="none" w:sz="0" w:space="0" w:color="auto"/>
          </w:divBdr>
        </w:div>
        <w:div w:id="779303542">
          <w:marLeft w:val="432"/>
          <w:marRight w:val="0"/>
          <w:marTop w:val="240"/>
          <w:marBottom w:val="0"/>
          <w:divBdr>
            <w:top w:val="none" w:sz="0" w:space="0" w:color="auto"/>
            <w:left w:val="none" w:sz="0" w:space="0" w:color="auto"/>
            <w:bottom w:val="none" w:sz="0" w:space="0" w:color="auto"/>
            <w:right w:val="none" w:sz="0" w:space="0" w:color="auto"/>
          </w:divBdr>
        </w:div>
      </w:divsChild>
    </w:div>
    <w:div w:id="1529491632">
      <w:bodyDiv w:val="1"/>
      <w:marLeft w:val="0"/>
      <w:marRight w:val="0"/>
      <w:marTop w:val="0"/>
      <w:marBottom w:val="0"/>
      <w:divBdr>
        <w:top w:val="none" w:sz="0" w:space="0" w:color="auto"/>
        <w:left w:val="none" w:sz="0" w:space="0" w:color="auto"/>
        <w:bottom w:val="none" w:sz="0" w:space="0" w:color="auto"/>
        <w:right w:val="none" w:sz="0" w:space="0" w:color="auto"/>
      </w:divBdr>
    </w:div>
    <w:div w:id="1653563573">
      <w:bodyDiv w:val="1"/>
      <w:marLeft w:val="0"/>
      <w:marRight w:val="0"/>
      <w:marTop w:val="0"/>
      <w:marBottom w:val="0"/>
      <w:divBdr>
        <w:top w:val="none" w:sz="0" w:space="0" w:color="auto"/>
        <w:left w:val="none" w:sz="0" w:space="0" w:color="auto"/>
        <w:bottom w:val="none" w:sz="0" w:space="0" w:color="auto"/>
        <w:right w:val="none" w:sz="0" w:space="0" w:color="auto"/>
      </w:divBdr>
      <w:divsChild>
        <w:div w:id="666054577">
          <w:marLeft w:val="432"/>
          <w:marRight w:val="0"/>
          <w:marTop w:val="240"/>
          <w:marBottom w:val="0"/>
          <w:divBdr>
            <w:top w:val="none" w:sz="0" w:space="0" w:color="auto"/>
            <w:left w:val="none" w:sz="0" w:space="0" w:color="auto"/>
            <w:bottom w:val="none" w:sz="0" w:space="0" w:color="auto"/>
            <w:right w:val="none" w:sz="0" w:space="0" w:color="auto"/>
          </w:divBdr>
        </w:div>
        <w:div w:id="352999329">
          <w:marLeft w:val="432"/>
          <w:marRight w:val="0"/>
          <w:marTop w:val="240"/>
          <w:marBottom w:val="0"/>
          <w:divBdr>
            <w:top w:val="none" w:sz="0" w:space="0" w:color="auto"/>
            <w:left w:val="none" w:sz="0" w:space="0" w:color="auto"/>
            <w:bottom w:val="none" w:sz="0" w:space="0" w:color="auto"/>
            <w:right w:val="none" w:sz="0" w:space="0" w:color="auto"/>
          </w:divBdr>
        </w:div>
        <w:div w:id="1874538498">
          <w:marLeft w:val="432"/>
          <w:marRight w:val="0"/>
          <w:marTop w:val="240"/>
          <w:marBottom w:val="0"/>
          <w:divBdr>
            <w:top w:val="none" w:sz="0" w:space="0" w:color="auto"/>
            <w:left w:val="none" w:sz="0" w:space="0" w:color="auto"/>
            <w:bottom w:val="none" w:sz="0" w:space="0" w:color="auto"/>
            <w:right w:val="none" w:sz="0" w:space="0" w:color="auto"/>
          </w:divBdr>
        </w:div>
      </w:divsChild>
    </w:div>
    <w:div w:id="170015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bfacer@deloitte.com.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mailto:rmason@deloitte.com.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eloitte.com.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deloitte.com/au/en/pages/tax/articles/tax-reform-debate-mythbusting-perspective.htm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deloitte.com/au/superannuation"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ldenver@deloitte.com.au"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8300-1A24-4A00-BEAB-56F86366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vkuraeva</dc:creator>
  <cp:lastModifiedBy>Denver, Louise (AU - Sydney)</cp:lastModifiedBy>
  <cp:revision>2</cp:revision>
  <cp:lastPrinted>2013-09-20T05:00:00Z</cp:lastPrinted>
  <dcterms:created xsi:type="dcterms:W3CDTF">2015-11-17T01:21:00Z</dcterms:created>
  <dcterms:modified xsi:type="dcterms:W3CDTF">2015-11-17T01:21:00Z</dcterms:modified>
</cp:coreProperties>
</file>