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A4" w:rsidRPr="00DE7B81" w:rsidRDefault="00C2162F" w:rsidP="00E9049C">
      <w:pPr>
        <w:spacing w:after="240"/>
        <w:jc w:val="right"/>
        <w:rPr>
          <w:rFonts w:ascii="Helvetica" w:hAnsi="Helvetica" w:cs="Helvetica"/>
          <w:sz w:val="22"/>
          <w:szCs w:val="22"/>
        </w:rPr>
      </w:pPr>
      <w:bookmarkStart w:id="0" w:name="_GoBack"/>
      <w:bookmarkEnd w:id="0"/>
      <w:r w:rsidRPr="00DE7B81">
        <w:rPr>
          <w:rFonts w:ascii="Helvetica" w:hAnsi="Helvetica" w:cs="Helvetica"/>
          <w:sz w:val="22"/>
          <w:szCs w:val="22"/>
        </w:rPr>
        <w:t>ASX Code: AEF</w:t>
      </w:r>
    </w:p>
    <w:p w:rsidR="005D1BBD" w:rsidRDefault="00C2162F" w:rsidP="00B26F5E">
      <w:pPr>
        <w:spacing w:after="240"/>
        <w:jc w:val="right"/>
        <w:rPr>
          <w:rFonts w:ascii="Helvetica" w:hAnsi="Helvetica" w:cs="Helvetica"/>
          <w:bCs/>
          <w:color w:val="000000"/>
          <w:sz w:val="22"/>
          <w:szCs w:val="22"/>
        </w:rPr>
      </w:pPr>
      <w:r w:rsidRPr="00DE7B81">
        <w:rPr>
          <w:rFonts w:ascii="Helvetica" w:hAnsi="Helvetica" w:cs="Helvetica"/>
          <w:bCs/>
          <w:color w:val="000000"/>
          <w:sz w:val="22"/>
          <w:szCs w:val="22"/>
        </w:rPr>
        <w:t>2</w:t>
      </w:r>
      <w:r w:rsidR="00451962">
        <w:rPr>
          <w:rFonts w:ascii="Helvetica" w:hAnsi="Helvetica" w:cs="Helvetica"/>
          <w:bCs/>
          <w:color w:val="000000"/>
          <w:sz w:val="22"/>
          <w:szCs w:val="22"/>
        </w:rPr>
        <w:t>4</w:t>
      </w:r>
      <w:r w:rsidRPr="00DE7B81">
        <w:rPr>
          <w:rFonts w:ascii="Helvetica" w:hAnsi="Helvetica" w:cs="Helvetica"/>
          <w:bCs/>
          <w:color w:val="000000"/>
          <w:sz w:val="22"/>
          <w:szCs w:val="22"/>
        </w:rPr>
        <w:t xml:space="preserve"> October 2014</w:t>
      </w:r>
    </w:p>
    <w:p w:rsidR="004D5603" w:rsidRPr="00DE7B81" w:rsidRDefault="004D5603" w:rsidP="00B26F5E">
      <w:pPr>
        <w:spacing w:after="240"/>
        <w:jc w:val="right"/>
        <w:rPr>
          <w:rFonts w:ascii="Helvetica" w:hAnsi="Helvetica" w:cs="Helvetica"/>
          <w:bCs/>
          <w:color w:val="000000"/>
          <w:sz w:val="22"/>
          <w:szCs w:val="22"/>
        </w:rPr>
      </w:pPr>
    </w:p>
    <w:p w:rsidR="005D1BBD" w:rsidRPr="00DE7B81" w:rsidRDefault="00C2162F" w:rsidP="00B26F5E">
      <w:pPr>
        <w:autoSpaceDE w:val="0"/>
        <w:autoSpaceDN w:val="0"/>
        <w:adjustRightInd w:val="0"/>
        <w:spacing w:after="240"/>
        <w:jc w:val="center"/>
        <w:outlineLvl w:val="0"/>
        <w:rPr>
          <w:rFonts w:ascii="Helvetica" w:hAnsi="Helvetica" w:cs="Helvetica"/>
          <w:b/>
          <w:sz w:val="28"/>
          <w:szCs w:val="28"/>
        </w:rPr>
      </w:pPr>
      <w:r w:rsidRPr="00DE7B81">
        <w:rPr>
          <w:rFonts w:ascii="Helvetica" w:hAnsi="Helvetica" w:cs="Helvetica"/>
          <w:b/>
          <w:sz w:val="28"/>
          <w:szCs w:val="28"/>
        </w:rPr>
        <w:t>Australian Ethical Investment Limited</w:t>
      </w:r>
    </w:p>
    <w:p w:rsidR="005D1BBD" w:rsidRPr="00DE7B81" w:rsidRDefault="00C2162F" w:rsidP="00B26F5E">
      <w:pPr>
        <w:autoSpaceDE w:val="0"/>
        <w:autoSpaceDN w:val="0"/>
        <w:adjustRightInd w:val="0"/>
        <w:spacing w:after="240"/>
        <w:jc w:val="center"/>
        <w:outlineLvl w:val="0"/>
        <w:rPr>
          <w:rFonts w:ascii="Helvetica" w:hAnsi="Helvetica" w:cs="Helvetica"/>
          <w:b/>
          <w:sz w:val="28"/>
          <w:szCs w:val="28"/>
        </w:rPr>
      </w:pPr>
      <w:r w:rsidRPr="00DE7B81">
        <w:rPr>
          <w:rFonts w:ascii="Helvetica" w:hAnsi="Helvetica" w:cs="Helvetica"/>
          <w:b/>
          <w:sz w:val="28"/>
          <w:szCs w:val="28"/>
        </w:rPr>
        <w:t>Funds under Management and Net Flows</w:t>
      </w:r>
    </w:p>
    <w:p w:rsidR="005D1BBD" w:rsidRPr="00DE7B81" w:rsidRDefault="00C2162F" w:rsidP="00B26F5E">
      <w:pPr>
        <w:autoSpaceDE w:val="0"/>
        <w:autoSpaceDN w:val="0"/>
        <w:adjustRightInd w:val="0"/>
        <w:spacing w:after="240"/>
        <w:jc w:val="center"/>
        <w:outlineLvl w:val="0"/>
        <w:rPr>
          <w:rFonts w:ascii="Helvetica" w:hAnsi="Helvetica" w:cs="Helvetica"/>
          <w:b/>
          <w:sz w:val="28"/>
          <w:szCs w:val="28"/>
        </w:rPr>
      </w:pPr>
      <w:r w:rsidRPr="00DE7B81">
        <w:rPr>
          <w:rFonts w:ascii="Helvetica" w:hAnsi="Helvetica" w:cs="Helvetica"/>
          <w:b/>
          <w:sz w:val="28"/>
          <w:szCs w:val="28"/>
        </w:rPr>
        <w:t>1 July 2014 to 30 September 2014</w:t>
      </w:r>
    </w:p>
    <w:p w:rsidR="005D1BBD" w:rsidRPr="00DE7B81" w:rsidRDefault="00C2162F" w:rsidP="00307FE1">
      <w:pPr>
        <w:autoSpaceDE w:val="0"/>
        <w:autoSpaceDN w:val="0"/>
        <w:adjustRightInd w:val="0"/>
        <w:spacing w:after="240"/>
        <w:rPr>
          <w:rFonts w:ascii="Helvetica" w:hAnsi="Helvetica" w:cs="Helvetica"/>
          <w:color w:val="000000"/>
          <w:sz w:val="22"/>
          <w:szCs w:val="22"/>
        </w:rPr>
      </w:pPr>
      <w:r w:rsidRPr="00DE7B81">
        <w:rPr>
          <w:rFonts w:ascii="Helvetica" w:hAnsi="Helvetica" w:cs="Helvetica"/>
          <w:color w:val="000000"/>
          <w:sz w:val="22"/>
          <w:szCs w:val="22"/>
        </w:rPr>
        <w:t>Australian Ethical advises that funds under management (FUM) as at 30 September 2014 was $959.4 million, an increase of 8.1% since 30 June 2014. FUM as at 30 June 2014 was $887.2 million.</w:t>
      </w:r>
    </w:p>
    <w:p w:rsidR="005D1BBD" w:rsidRPr="00DE7B81" w:rsidRDefault="00C2162F" w:rsidP="00307FE1">
      <w:pPr>
        <w:autoSpaceDE w:val="0"/>
        <w:autoSpaceDN w:val="0"/>
        <w:adjustRightInd w:val="0"/>
        <w:spacing w:after="240"/>
        <w:rPr>
          <w:rFonts w:ascii="Helvetica" w:hAnsi="Helvetica" w:cs="Helvetica"/>
          <w:color w:val="000000"/>
          <w:sz w:val="22"/>
          <w:szCs w:val="22"/>
        </w:rPr>
      </w:pPr>
      <w:r w:rsidRPr="00DE7B81">
        <w:rPr>
          <w:rFonts w:ascii="Helvetica" w:hAnsi="Helvetica" w:cs="Helvetica"/>
          <w:color w:val="000000"/>
          <w:sz w:val="22"/>
          <w:szCs w:val="22"/>
        </w:rPr>
        <w:t>FUM and flows by product for the three months to 30 September 2014 were as follows.</w:t>
      </w:r>
    </w:p>
    <w:tbl>
      <w:tblPr>
        <w:tblW w:w="9611" w:type="dxa"/>
        <w:tblInd w:w="-147" w:type="dxa"/>
        <w:tblLayout w:type="fixed"/>
        <w:tblLook w:val="04A0" w:firstRow="1" w:lastRow="0" w:firstColumn="1" w:lastColumn="0" w:noHBand="0" w:noVBand="1"/>
      </w:tblPr>
      <w:tblGrid>
        <w:gridCol w:w="1815"/>
        <w:gridCol w:w="1842"/>
        <w:gridCol w:w="1701"/>
        <w:gridCol w:w="1843"/>
        <w:gridCol w:w="2410"/>
      </w:tblGrid>
      <w:tr w:rsidR="0002604A" w:rsidRPr="00123293" w:rsidTr="003A1628">
        <w:trPr>
          <w:trHeight w:val="300"/>
        </w:trPr>
        <w:tc>
          <w:tcPr>
            <w:tcW w:w="1815" w:type="dxa"/>
            <w:tcBorders>
              <w:top w:val="single" w:sz="4" w:space="0" w:color="auto"/>
              <w:left w:val="single" w:sz="4" w:space="0" w:color="auto"/>
              <w:bottom w:val="single" w:sz="4" w:space="0" w:color="auto"/>
              <w:right w:val="nil"/>
            </w:tcBorders>
            <w:shd w:val="clear" w:color="000000" w:fill="D9D9D9"/>
            <w:noWrap/>
            <w:hideMark/>
          </w:tcPr>
          <w:p w:rsidR="0002604A" w:rsidRPr="00123293" w:rsidRDefault="00C2162F" w:rsidP="006402E0">
            <w:pPr>
              <w:jc w:val="right"/>
              <w:rPr>
                <w:rFonts w:ascii="Helvetica" w:hAnsi="Helvetica" w:cs="Helvetica"/>
                <w:b/>
                <w:bCs/>
                <w:color w:val="000000"/>
                <w:lang w:eastAsia="en-AU"/>
              </w:rPr>
            </w:pPr>
            <w:r w:rsidRPr="00123293">
              <w:rPr>
                <w:rFonts w:ascii="Helvetica" w:hAnsi="Helvetica" w:cs="Helvetica"/>
                <w:b/>
                <w:bCs/>
                <w:color w:val="000000"/>
                <w:lang w:eastAsia="en-AU"/>
              </w:rPr>
              <w:t>Product</w:t>
            </w:r>
          </w:p>
        </w:tc>
        <w:tc>
          <w:tcPr>
            <w:tcW w:w="1842" w:type="dxa"/>
            <w:tcBorders>
              <w:top w:val="single" w:sz="4" w:space="0" w:color="auto"/>
              <w:left w:val="nil"/>
              <w:bottom w:val="single" w:sz="4" w:space="0" w:color="auto"/>
              <w:right w:val="nil"/>
            </w:tcBorders>
            <w:shd w:val="clear" w:color="000000" w:fill="D9D9D9"/>
            <w:noWrap/>
            <w:hideMark/>
          </w:tcPr>
          <w:p w:rsidR="0002604A" w:rsidRPr="00123293" w:rsidRDefault="00C2162F" w:rsidP="009076B6">
            <w:pPr>
              <w:jc w:val="center"/>
              <w:rPr>
                <w:rFonts w:ascii="Helvetica" w:hAnsi="Helvetica" w:cs="Helvetica"/>
                <w:b/>
                <w:bCs/>
                <w:iCs/>
                <w:color w:val="000000"/>
                <w:lang w:eastAsia="en-AU"/>
              </w:rPr>
            </w:pPr>
            <w:r w:rsidRPr="00123293">
              <w:rPr>
                <w:rFonts w:ascii="Helvetica" w:hAnsi="Helvetica" w:cs="Helvetica"/>
                <w:b/>
                <w:bCs/>
                <w:color w:val="000000"/>
                <w:lang w:eastAsia="en-AU"/>
              </w:rPr>
              <w:t xml:space="preserve">FUM </w:t>
            </w:r>
            <w:r w:rsidR="00123293" w:rsidRPr="00123293">
              <w:rPr>
                <w:rFonts w:ascii="Helvetica" w:hAnsi="Helvetica" w:cs="Helvetica"/>
                <w:b/>
                <w:bCs/>
                <w:color w:val="000000"/>
                <w:lang w:eastAsia="en-AU"/>
              </w:rPr>
              <w:t>–</w:t>
            </w:r>
            <w:r w:rsidRPr="00123293">
              <w:rPr>
                <w:rFonts w:ascii="Helvetica" w:hAnsi="Helvetica" w:cs="Helvetica"/>
                <w:b/>
                <w:bCs/>
                <w:color w:val="000000"/>
                <w:lang w:eastAsia="en-AU"/>
              </w:rPr>
              <w:t xml:space="preserve"> </w:t>
            </w:r>
            <w:r w:rsidRPr="00123293">
              <w:rPr>
                <w:rFonts w:ascii="Helvetica" w:hAnsi="Helvetica" w:cs="Helvetica"/>
                <w:b/>
                <w:bCs/>
                <w:iCs/>
                <w:color w:val="000000"/>
                <w:lang w:eastAsia="en-AU"/>
              </w:rPr>
              <w:t>June</w:t>
            </w:r>
            <w:r w:rsidR="00123293" w:rsidRPr="00123293">
              <w:rPr>
                <w:rFonts w:ascii="Helvetica" w:hAnsi="Helvetica" w:cs="Helvetica"/>
                <w:b/>
                <w:bCs/>
                <w:iCs/>
                <w:color w:val="000000"/>
                <w:lang w:eastAsia="en-AU"/>
              </w:rPr>
              <w:t xml:space="preserve"> </w:t>
            </w:r>
            <w:r w:rsidRPr="00123293">
              <w:rPr>
                <w:rFonts w:ascii="Helvetica" w:hAnsi="Helvetica" w:cs="Helvetica"/>
                <w:b/>
                <w:bCs/>
                <w:iCs/>
                <w:color w:val="000000"/>
                <w:lang w:eastAsia="en-AU"/>
              </w:rPr>
              <w:t>’14</w:t>
            </w:r>
          </w:p>
          <w:p w:rsidR="0002604A" w:rsidRPr="00123293" w:rsidRDefault="00C2162F" w:rsidP="009076B6">
            <w:pPr>
              <w:jc w:val="center"/>
              <w:rPr>
                <w:rFonts w:ascii="Helvetica" w:hAnsi="Helvetica" w:cs="Helvetica"/>
                <w:b/>
                <w:bCs/>
                <w:iCs/>
                <w:color w:val="000000"/>
                <w:lang w:eastAsia="en-AU"/>
              </w:rPr>
            </w:pPr>
            <w:r w:rsidRPr="00123293">
              <w:rPr>
                <w:rFonts w:ascii="Helvetica" w:hAnsi="Helvetica" w:cs="Helvetica"/>
                <w:b/>
                <w:bCs/>
                <w:iCs/>
                <w:color w:val="000000"/>
                <w:lang w:eastAsia="en-AU"/>
              </w:rPr>
              <w:t>($m)</w:t>
            </w:r>
          </w:p>
        </w:tc>
        <w:tc>
          <w:tcPr>
            <w:tcW w:w="1701" w:type="dxa"/>
            <w:tcBorders>
              <w:top w:val="single" w:sz="4" w:space="0" w:color="auto"/>
              <w:left w:val="nil"/>
              <w:bottom w:val="single" w:sz="4" w:space="0" w:color="auto"/>
              <w:right w:val="nil"/>
            </w:tcBorders>
            <w:shd w:val="clear" w:color="000000" w:fill="D9D9D9"/>
            <w:noWrap/>
            <w:hideMark/>
          </w:tcPr>
          <w:p w:rsidR="0002604A" w:rsidRPr="00123293" w:rsidRDefault="00C2162F" w:rsidP="0002604A">
            <w:pPr>
              <w:jc w:val="center"/>
              <w:rPr>
                <w:rFonts w:ascii="Helvetica" w:hAnsi="Helvetica" w:cs="Helvetica"/>
                <w:b/>
                <w:bCs/>
                <w:color w:val="000000"/>
                <w:lang w:eastAsia="en-AU"/>
              </w:rPr>
            </w:pPr>
            <w:r w:rsidRPr="00123293">
              <w:rPr>
                <w:rFonts w:ascii="Helvetica" w:hAnsi="Helvetica" w:cs="Helvetica"/>
                <w:b/>
                <w:bCs/>
                <w:color w:val="000000"/>
                <w:lang w:eastAsia="en-AU"/>
              </w:rPr>
              <w:t>Net Flows</w:t>
            </w:r>
          </w:p>
          <w:p w:rsidR="0002604A" w:rsidRPr="00123293" w:rsidRDefault="00C2162F" w:rsidP="0002604A">
            <w:pPr>
              <w:jc w:val="center"/>
              <w:rPr>
                <w:rFonts w:ascii="Helvetica" w:hAnsi="Helvetica" w:cs="Helvetica"/>
                <w:b/>
                <w:bCs/>
                <w:iCs/>
                <w:color w:val="000000"/>
                <w:lang w:eastAsia="en-AU"/>
              </w:rPr>
            </w:pPr>
            <w:r w:rsidRPr="00123293">
              <w:rPr>
                <w:rFonts w:ascii="Helvetica" w:hAnsi="Helvetica" w:cs="Helvetica"/>
                <w:b/>
                <w:bCs/>
                <w:iCs/>
                <w:color w:val="000000"/>
                <w:lang w:eastAsia="en-AU"/>
              </w:rPr>
              <w:t>($m)</w:t>
            </w:r>
          </w:p>
        </w:tc>
        <w:tc>
          <w:tcPr>
            <w:tcW w:w="1843" w:type="dxa"/>
            <w:tcBorders>
              <w:top w:val="single" w:sz="4" w:space="0" w:color="auto"/>
              <w:left w:val="nil"/>
              <w:bottom w:val="single" w:sz="4" w:space="0" w:color="auto"/>
              <w:right w:val="nil"/>
            </w:tcBorders>
            <w:shd w:val="clear" w:color="000000" w:fill="D9D9D9"/>
            <w:noWrap/>
            <w:hideMark/>
          </w:tcPr>
          <w:p w:rsidR="0002604A" w:rsidRPr="00123293" w:rsidRDefault="00C2162F" w:rsidP="009076B6">
            <w:pPr>
              <w:jc w:val="center"/>
              <w:rPr>
                <w:rFonts w:ascii="Helvetica" w:hAnsi="Helvetica" w:cs="Helvetica"/>
                <w:b/>
                <w:bCs/>
                <w:color w:val="000000"/>
                <w:lang w:eastAsia="en-AU"/>
              </w:rPr>
            </w:pPr>
            <w:r w:rsidRPr="00123293">
              <w:rPr>
                <w:rFonts w:ascii="Helvetica" w:hAnsi="Helvetica" w:cs="Helvetica"/>
                <w:b/>
                <w:bCs/>
                <w:color w:val="000000"/>
                <w:lang w:eastAsia="en-AU"/>
              </w:rPr>
              <w:t>Market &amp; Other*</w:t>
            </w:r>
          </w:p>
          <w:p w:rsidR="0002604A" w:rsidRPr="00123293" w:rsidRDefault="00C2162F" w:rsidP="009076B6">
            <w:pPr>
              <w:jc w:val="center"/>
              <w:rPr>
                <w:rFonts w:ascii="Helvetica" w:hAnsi="Helvetica" w:cs="Helvetica"/>
                <w:b/>
                <w:bCs/>
                <w:iCs/>
                <w:color w:val="000000"/>
                <w:lang w:eastAsia="en-AU"/>
              </w:rPr>
            </w:pPr>
            <w:r w:rsidRPr="00123293">
              <w:rPr>
                <w:rFonts w:ascii="Helvetica" w:hAnsi="Helvetica" w:cs="Helvetica"/>
                <w:b/>
                <w:bCs/>
                <w:iCs/>
                <w:color w:val="000000"/>
                <w:lang w:eastAsia="en-AU"/>
              </w:rPr>
              <w:t>($m)</w:t>
            </w:r>
          </w:p>
        </w:tc>
        <w:tc>
          <w:tcPr>
            <w:tcW w:w="2410" w:type="dxa"/>
            <w:tcBorders>
              <w:top w:val="single" w:sz="4" w:space="0" w:color="auto"/>
              <w:left w:val="nil"/>
              <w:bottom w:val="single" w:sz="4" w:space="0" w:color="auto"/>
              <w:right w:val="single" w:sz="4" w:space="0" w:color="auto"/>
            </w:tcBorders>
            <w:shd w:val="clear" w:color="000000" w:fill="D9D9D9"/>
            <w:noWrap/>
            <w:hideMark/>
          </w:tcPr>
          <w:p w:rsidR="0002604A" w:rsidRPr="00123293" w:rsidRDefault="00C2162F" w:rsidP="009076B6">
            <w:pPr>
              <w:jc w:val="center"/>
              <w:rPr>
                <w:rFonts w:ascii="Helvetica" w:hAnsi="Helvetica" w:cs="Helvetica"/>
                <w:b/>
                <w:bCs/>
                <w:iCs/>
                <w:color w:val="000000"/>
                <w:lang w:eastAsia="en-AU"/>
              </w:rPr>
            </w:pPr>
            <w:r w:rsidRPr="00123293">
              <w:rPr>
                <w:rFonts w:ascii="Helvetica" w:hAnsi="Helvetica" w:cs="Helvetica"/>
                <w:b/>
                <w:bCs/>
                <w:color w:val="000000"/>
                <w:lang w:eastAsia="en-AU"/>
              </w:rPr>
              <w:t xml:space="preserve">FUM </w:t>
            </w:r>
            <w:r w:rsidR="00123293" w:rsidRPr="00123293">
              <w:rPr>
                <w:rFonts w:ascii="Helvetica" w:hAnsi="Helvetica" w:cs="Helvetica"/>
                <w:b/>
                <w:bCs/>
                <w:color w:val="000000"/>
                <w:lang w:eastAsia="en-AU"/>
              </w:rPr>
              <w:t>–</w:t>
            </w:r>
            <w:r w:rsidRPr="00123293">
              <w:rPr>
                <w:rFonts w:ascii="Helvetica" w:hAnsi="Helvetica" w:cs="Helvetica"/>
                <w:b/>
                <w:bCs/>
                <w:color w:val="000000"/>
                <w:lang w:eastAsia="en-AU"/>
              </w:rPr>
              <w:t xml:space="preserve"> </w:t>
            </w:r>
            <w:r w:rsidR="00123293" w:rsidRPr="00123293">
              <w:rPr>
                <w:rFonts w:ascii="Helvetica" w:hAnsi="Helvetica" w:cs="Helvetica"/>
                <w:b/>
                <w:bCs/>
                <w:iCs/>
                <w:color w:val="000000"/>
                <w:lang w:eastAsia="en-AU"/>
              </w:rPr>
              <w:t xml:space="preserve">September </w:t>
            </w:r>
            <w:r w:rsidRPr="00123293">
              <w:rPr>
                <w:rFonts w:ascii="Helvetica" w:hAnsi="Helvetica" w:cs="Helvetica"/>
                <w:b/>
                <w:bCs/>
                <w:iCs/>
                <w:color w:val="000000"/>
                <w:lang w:eastAsia="en-AU"/>
              </w:rPr>
              <w:t>’14</w:t>
            </w:r>
          </w:p>
          <w:p w:rsidR="0002604A" w:rsidRPr="00123293" w:rsidRDefault="00C2162F" w:rsidP="009076B6">
            <w:pPr>
              <w:jc w:val="center"/>
              <w:rPr>
                <w:rFonts w:ascii="Helvetica" w:hAnsi="Helvetica" w:cs="Helvetica"/>
                <w:b/>
                <w:bCs/>
                <w:iCs/>
                <w:color w:val="000000"/>
                <w:lang w:eastAsia="en-AU"/>
              </w:rPr>
            </w:pPr>
            <w:r w:rsidRPr="00123293">
              <w:rPr>
                <w:rFonts w:ascii="Helvetica" w:hAnsi="Helvetica" w:cs="Helvetica"/>
                <w:b/>
                <w:bCs/>
                <w:iCs/>
                <w:color w:val="000000"/>
                <w:lang w:eastAsia="en-AU"/>
              </w:rPr>
              <w:t>($m)</w:t>
            </w:r>
          </w:p>
        </w:tc>
      </w:tr>
      <w:tr w:rsidR="003A1628" w:rsidRPr="00A77582" w:rsidTr="003A1628">
        <w:trPr>
          <w:trHeight w:val="300"/>
        </w:trPr>
        <w:tc>
          <w:tcPr>
            <w:tcW w:w="1815" w:type="dxa"/>
            <w:tcBorders>
              <w:top w:val="nil"/>
              <w:left w:val="single" w:sz="4" w:space="0" w:color="auto"/>
              <w:bottom w:val="nil"/>
              <w:right w:val="nil"/>
            </w:tcBorders>
            <w:shd w:val="clear" w:color="auto" w:fill="auto"/>
            <w:noWrap/>
            <w:vAlign w:val="bottom"/>
            <w:hideMark/>
          </w:tcPr>
          <w:p w:rsidR="003A1628" w:rsidRPr="00DE7B81" w:rsidRDefault="00C2162F" w:rsidP="009076B6">
            <w:pPr>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Managed Funds</w:t>
            </w:r>
          </w:p>
        </w:tc>
        <w:tc>
          <w:tcPr>
            <w:tcW w:w="1842" w:type="dxa"/>
            <w:tcBorders>
              <w:top w:val="nil"/>
              <w:left w:val="nil"/>
              <w:bottom w:val="nil"/>
              <w:right w:val="nil"/>
            </w:tcBorders>
            <w:shd w:val="clear" w:color="auto" w:fill="auto"/>
            <w:noWrap/>
            <w:vAlign w:val="bottom"/>
            <w:hideMark/>
          </w:tcPr>
          <w:p w:rsidR="003A1628" w:rsidRPr="00DE7B81" w:rsidRDefault="00C2162F" w:rsidP="008814B2">
            <w:pPr>
              <w:ind w:right="662"/>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300.3</w:t>
            </w:r>
          </w:p>
        </w:tc>
        <w:tc>
          <w:tcPr>
            <w:tcW w:w="1701" w:type="dxa"/>
            <w:tcBorders>
              <w:top w:val="nil"/>
              <w:left w:val="nil"/>
              <w:bottom w:val="nil"/>
              <w:right w:val="nil"/>
            </w:tcBorders>
            <w:shd w:val="clear" w:color="auto" w:fill="auto"/>
            <w:noWrap/>
            <w:vAlign w:val="bottom"/>
            <w:hideMark/>
          </w:tcPr>
          <w:p w:rsidR="003A1628" w:rsidRPr="00DE7B81" w:rsidRDefault="00C2162F" w:rsidP="00A63BF5">
            <w:pPr>
              <w:ind w:right="576"/>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3.</w:t>
            </w:r>
            <w:r w:rsidR="00A63BF5">
              <w:rPr>
                <w:rFonts w:ascii="Helvetica" w:hAnsi="Helvetica" w:cs="Helvetica"/>
                <w:color w:val="000000"/>
                <w:sz w:val="22"/>
                <w:szCs w:val="22"/>
                <w:lang w:eastAsia="en-AU"/>
              </w:rPr>
              <w:t>9</w:t>
            </w:r>
          </w:p>
        </w:tc>
        <w:tc>
          <w:tcPr>
            <w:tcW w:w="1843" w:type="dxa"/>
            <w:tcBorders>
              <w:top w:val="nil"/>
              <w:left w:val="nil"/>
              <w:bottom w:val="nil"/>
              <w:right w:val="nil"/>
            </w:tcBorders>
            <w:shd w:val="clear" w:color="auto" w:fill="auto"/>
            <w:noWrap/>
            <w:vAlign w:val="bottom"/>
            <w:hideMark/>
          </w:tcPr>
          <w:p w:rsidR="003A1628" w:rsidRPr="00DE7B81" w:rsidRDefault="00C2162F" w:rsidP="00053F41">
            <w:pPr>
              <w:ind w:right="662"/>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15.8</w:t>
            </w:r>
          </w:p>
        </w:tc>
        <w:tc>
          <w:tcPr>
            <w:tcW w:w="2410" w:type="dxa"/>
            <w:tcBorders>
              <w:top w:val="nil"/>
              <w:left w:val="nil"/>
              <w:bottom w:val="nil"/>
              <w:right w:val="single" w:sz="4" w:space="0" w:color="auto"/>
            </w:tcBorders>
            <w:shd w:val="clear" w:color="auto" w:fill="auto"/>
            <w:noWrap/>
            <w:vAlign w:val="bottom"/>
            <w:hideMark/>
          </w:tcPr>
          <w:p w:rsidR="003A1628" w:rsidRPr="00DE7B81" w:rsidRDefault="00C2162F" w:rsidP="00053F41">
            <w:pPr>
              <w:ind w:right="662"/>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320.0</w:t>
            </w:r>
          </w:p>
        </w:tc>
      </w:tr>
      <w:tr w:rsidR="003A1628" w:rsidRPr="00A77582" w:rsidTr="003A1628">
        <w:trPr>
          <w:trHeight w:val="315"/>
        </w:trPr>
        <w:tc>
          <w:tcPr>
            <w:tcW w:w="1815" w:type="dxa"/>
            <w:tcBorders>
              <w:top w:val="nil"/>
              <w:left w:val="single" w:sz="4" w:space="0" w:color="auto"/>
              <w:bottom w:val="single" w:sz="8" w:space="0" w:color="auto"/>
              <w:right w:val="nil"/>
            </w:tcBorders>
            <w:shd w:val="clear" w:color="auto" w:fill="auto"/>
            <w:noWrap/>
            <w:vAlign w:val="bottom"/>
            <w:hideMark/>
          </w:tcPr>
          <w:p w:rsidR="003A1628" w:rsidRPr="00DE7B81" w:rsidRDefault="00C2162F" w:rsidP="009076B6">
            <w:pPr>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Superannuation</w:t>
            </w:r>
          </w:p>
        </w:tc>
        <w:tc>
          <w:tcPr>
            <w:tcW w:w="1842" w:type="dxa"/>
            <w:tcBorders>
              <w:top w:val="nil"/>
              <w:left w:val="nil"/>
              <w:bottom w:val="single" w:sz="8" w:space="0" w:color="auto"/>
              <w:right w:val="nil"/>
            </w:tcBorders>
            <w:shd w:val="clear" w:color="auto" w:fill="auto"/>
            <w:noWrap/>
            <w:vAlign w:val="bottom"/>
            <w:hideMark/>
          </w:tcPr>
          <w:p w:rsidR="003A1628" w:rsidRPr="00DE7B81" w:rsidRDefault="00C2162F" w:rsidP="008814B2">
            <w:pPr>
              <w:ind w:right="662"/>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586.9</w:t>
            </w:r>
          </w:p>
        </w:tc>
        <w:tc>
          <w:tcPr>
            <w:tcW w:w="1701" w:type="dxa"/>
            <w:tcBorders>
              <w:top w:val="nil"/>
              <w:left w:val="nil"/>
              <w:bottom w:val="single" w:sz="8" w:space="0" w:color="auto"/>
              <w:right w:val="nil"/>
            </w:tcBorders>
            <w:shd w:val="clear" w:color="auto" w:fill="auto"/>
            <w:noWrap/>
            <w:vAlign w:val="bottom"/>
            <w:hideMark/>
          </w:tcPr>
          <w:p w:rsidR="003A1628" w:rsidRPr="00DE7B81" w:rsidRDefault="00C2162F" w:rsidP="00053F41">
            <w:pPr>
              <w:ind w:right="576"/>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30.9</w:t>
            </w:r>
          </w:p>
        </w:tc>
        <w:tc>
          <w:tcPr>
            <w:tcW w:w="1843" w:type="dxa"/>
            <w:tcBorders>
              <w:top w:val="nil"/>
              <w:left w:val="nil"/>
              <w:bottom w:val="single" w:sz="8" w:space="0" w:color="auto"/>
              <w:right w:val="nil"/>
            </w:tcBorders>
            <w:shd w:val="clear" w:color="auto" w:fill="auto"/>
            <w:noWrap/>
            <w:vAlign w:val="bottom"/>
            <w:hideMark/>
          </w:tcPr>
          <w:p w:rsidR="003A1628" w:rsidRPr="00DE7B81" w:rsidRDefault="00C2162F" w:rsidP="00053F41">
            <w:pPr>
              <w:ind w:right="662"/>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21.6</w:t>
            </w:r>
          </w:p>
        </w:tc>
        <w:tc>
          <w:tcPr>
            <w:tcW w:w="2410" w:type="dxa"/>
            <w:tcBorders>
              <w:top w:val="nil"/>
              <w:left w:val="nil"/>
              <w:bottom w:val="single" w:sz="8" w:space="0" w:color="auto"/>
              <w:right w:val="single" w:sz="4" w:space="0" w:color="auto"/>
            </w:tcBorders>
            <w:shd w:val="clear" w:color="auto" w:fill="auto"/>
            <w:noWrap/>
            <w:vAlign w:val="bottom"/>
            <w:hideMark/>
          </w:tcPr>
          <w:p w:rsidR="003A1628" w:rsidRPr="00DE7B81" w:rsidRDefault="00C2162F" w:rsidP="00053F41">
            <w:pPr>
              <w:ind w:right="662"/>
              <w:jc w:val="right"/>
              <w:rPr>
                <w:rFonts w:ascii="Helvetica" w:hAnsi="Helvetica" w:cs="Helvetica"/>
                <w:color w:val="000000"/>
                <w:sz w:val="22"/>
                <w:szCs w:val="22"/>
                <w:lang w:eastAsia="en-AU"/>
              </w:rPr>
            </w:pPr>
            <w:r w:rsidRPr="00DE7B81">
              <w:rPr>
                <w:rFonts w:ascii="Helvetica" w:hAnsi="Helvetica" w:cs="Helvetica"/>
                <w:color w:val="000000"/>
                <w:sz w:val="22"/>
                <w:szCs w:val="22"/>
                <w:lang w:eastAsia="en-AU"/>
              </w:rPr>
              <w:t>639.4</w:t>
            </w:r>
          </w:p>
        </w:tc>
      </w:tr>
      <w:tr w:rsidR="003A1628" w:rsidRPr="00123293" w:rsidTr="003A1628">
        <w:trPr>
          <w:trHeight w:val="300"/>
        </w:trPr>
        <w:tc>
          <w:tcPr>
            <w:tcW w:w="1815" w:type="dxa"/>
            <w:tcBorders>
              <w:top w:val="nil"/>
              <w:left w:val="single" w:sz="4" w:space="0" w:color="auto"/>
              <w:bottom w:val="single" w:sz="4" w:space="0" w:color="auto"/>
              <w:right w:val="nil"/>
            </w:tcBorders>
            <w:shd w:val="clear" w:color="auto" w:fill="auto"/>
            <w:noWrap/>
            <w:vAlign w:val="bottom"/>
            <w:hideMark/>
          </w:tcPr>
          <w:p w:rsidR="003A1628" w:rsidRPr="00123293" w:rsidRDefault="00C2162F" w:rsidP="009076B6">
            <w:pPr>
              <w:jc w:val="right"/>
              <w:rPr>
                <w:rFonts w:ascii="Helvetica" w:hAnsi="Helvetica" w:cs="Helvetica"/>
                <w:iCs/>
                <w:color w:val="000000"/>
                <w:lang w:eastAsia="en-AU"/>
              </w:rPr>
            </w:pPr>
            <w:r w:rsidRPr="00123293">
              <w:rPr>
                <w:rFonts w:ascii="Helvetica" w:hAnsi="Helvetica" w:cs="Helvetica"/>
                <w:iCs/>
                <w:color w:val="000000"/>
                <w:lang w:eastAsia="en-AU"/>
              </w:rPr>
              <w:t>All Products</w:t>
            </w:r>
          </w:p>
        </w:tc>
        <w:tc>
          <w:tcPr>
            <w:tcW w:w="1842" w:type="dxa"/>
            <w:tcBorders>
              <w:top w:val="nil"/>
              <w:left w:val="nil"/>
              <w:bottom w:val="single" w:sz="4" w:space="0" w:color="auto"/>
              <w:right w:val="nil"/>
            </w:tcBorders>
            <w:shd w:val="clear" w:color="auto" w:fill="auto"/>
            <w:noWrap/>
            <w:vAlign w:val="bottom"/>
            <w:hideMark/>
          </w:tcPr>
          <w:p w:rsidR="003A1628" w:rsidRPr="00123293" w:rsidRDefault="00C2162F" w:rsidP="008814B2">
            <w:pPr>
              <w:ind w:right="662"/>
              <w:jc w:val="right"/>
              <w:rPr>
                <w:rFonts w:ascii="Helvetica" w:hAnsi="Helvetica" w:cs="Helvetica"/>
                <w:color w:val="000000"/>
                <w:sz w:val="22"/>
                <w:szCs w:val="22"/>
                <w:lang w:eastAsia="en-AU"/>
              </w:rPr>
            </w:pPr>
            <w:r w:rsidRPr="00123293">
              <w:rPr>
                <w:rFonts w:ascii="Helvetica" w:hAnsi="Helvetica" w:cs="Helvetica"/>
                <w:color w:val="000000"/>
                <w:sz w:val="22"/>
                <w:szCs w:val="22"/>
                <w:lang w:eastAsia="en-AU"/>
              </w:rPr>
              <w:t>887.2</w:t>
            </w:r>
          </w:p>
        </w:tc>
        <w:tc>
          <w:tcPr>
            <w:tcW w:w="1701" w:type="dxa"/>
            <w:tcBorders>
              <w:top w:val="nil"/>
              <w:left w:val="nil"/>
              <w:bottom w:val="single" w:sz="4" w:space="0" w:color="auto"/>
              <w:right w:val="nil"/>
            </w:tcBorders>
            <w:shd w:val="clear" w:color="auto" w:fill="auto"/>
            <w:noWrap/>
            <w:vAlign w:val="bottom"/>
            <w:hideMark/>
          </w:tcPr>
          <w:p w:rsidR="003A1628" w:rsidRPr="00123293" w:rsidRDefault="00C2162F" w:rsidP="00053F41">
            <w:pPr>
              <w:ind w:right="576"/>
              <w:jc w:val="right"/>
              <w:rPr>
                <w:rFonts w:ascii="Helvetica" w:hAnsi="Helvetica" w:cs="Helvetica"/>
                <w:color w:val="000000"/>
                <w:sz w:val="22"/>
                <w:szCs w:val="22"/>
                <w:lang w:eastAsia="en-AU"/>
              </w:rPr>
            </w:pPr>
            <w:r w:rsidRPr="00123293">
              <w:rPr>
                <w:rFonts w:ascii="Helvetica" w:hAnsi="Helvetica" w:cs="Helvetica"/>
                <w:color w:val="000000"/>
                <w:sz w:val="22"/>
                <w:szCs w:val="22"/>
                <w:lang w:eastAsia="en-AU"/>
              </w:rPr>
              <w:t>34.</w:t>
            </w:r>
            <w:r w:rsidR="00A63BF5" w:rsidRPr="00123293">
              <w:rPr>
                <w:rFonts w:ascii="Helvetica" w:hAnsi="Helvetica" w:cs="Helvetica"/>
                <w:color w:val="000000"/>
                <w:sz w:val="22"/>
                <w:szCs w:val="22"/>
                <w:lang w:eastAsia="en-AU"/>
              </w:rPr>
              <w:t>8</w:t>
            </w:r>
          </w:p>
        </w:tc>
        <w:tc>
          <w:tcPr>
            <w:tcW w:w="1843" w:type="dxa"/>
            <w:tcBorders>
              <w:top w:val="nil"/>
              <w:left w:val="nil"/>
              <w:bottom w:val="single" w:sz="4" w:space="0" w:color="auto"/>
              <w:right w:val="nil"/>
            </w:tcBorders>
            <w:shd w:val="clear" w:color="auto" w:fill="auto"/>
            <w:noWrap/>
            <w:vAlign w:val="bottom"/>
            <w:hideMark/>
          </w:tcPr>
          <w:p w:rsidR="003A1628" w:rsidRPr="00123293" w:rsidRDefault="00C2162F" w:rsidP="00053F41">
            <w:pPr>
              <w:ind w:right="662"/>
              <w:jc w:val="right"/>
              <w:rPr>
                <w:rFonts w:ascii="Helvetica" w:hAnsi="Helvetica" w:cs="Helvetica"/>
                <w:color w:val="000000"/>
                <w:sz w:val="22"/>
                <w:szCs w:val="22"/>
                <w:lang w:eastAsia="en-AU"/>
              </w:rPr>
            </w:pPr>
            <w:r w:rsidRPr="00123293">
              <w:rPr>
                <w:rFonts w:ascii="Helvetica" w:hAnsi="Helvetica" w:cs="Helvetica"/>
                <w:color w:val="000000"/>
                <w:sz w:val="22"/>
                <w:szCs w:val="22"/>
                <w:lang w:eastAsia="en-AU"/>
              </w:rPr>
              <w:t>37.4</w:t>
            </w:r>
          </w:p>
        </w:tc>
        <w:tc>
          <w:tcPr>
            <w:tcW w:w="2410" w:type="dxa"/>
            <w:tcBorders>
              <w:top w:val="nil"/>
              <w:left w:val="nil"/>
              <w:bottom w:val="single" w:sz="4" w:space="0" w:color="auto"/>
              <w:right w:val="single" w:sz="4" w:space="0" w:color="auto"/>
            </w:tcBorders>
            <w:shd w:val="clear" w:color="auto" w:fill="auto"/>
            <w:noWrap/>
            <w:vAlign w:val="bottom"/>
            <w:hideMark/>
          </w:tcPr>
          <w:p w:rsidR="003A1628" w:rsidRPr="00123293" w:rsidRDefault="00C2162F" w:rsidP="00053F41">
            <w:pPr>
              <w:ind w:right="662"/>
              <w:jc w:val="right"/>
              <w:rPr>
                <w:rFonts w:ascii="Helvetica" w:hAnsi="Helvetica" w:cs="Helvetica"/>
                <w:color w:val="000000"/>
                <w:sz w:val="22"/>
                <w:szCs w:val="22"/>
                <w:lang w:eastAsia="en-AU"/>
              </w:rPr>
            </w:pPr>
            <w:r w:rsidRPr="00123293">
              <w:rPr>
                <w:rFonts w:ascii="Helvetica" w:hAnsi="Helvetica" w:cs="Helvetica"/>
                <w:color w:val="000000"/>
                <w:sz w:val="22"/>
                <w:szCs w:val="22"/>
                <w:lang w:eastAsia="en-AU"/>
              </w:rPr>
              <w:t>959.4</w:t>
            </w:r>
          </w:p>
        </w:tc>
      </w:tr>
    </w:tbl>
    <w:p w:rsidR="00053F41" w:rsidRPr="00DE7B81" w:rsidRDefault="00C2162F" w:rsidP="00D1457E">
      <w:pPr>
        <w:autoSpaceDE w:val="0"/>
        <w:autoSpaceDN w:val="0"/>
        <w:adjustRightInd w:val="0"/>
        <w:spacing w:before="120" w:after="240"/>
        <w:ind w:left="284" w:hanging="284"/>
        <w:rPr>
          <w:rFonts w:ascii="Helvetica" w:hAnsi="Helvetica" w:cs="Arial"/>
          <w:color w:val="000000"/>
          <w:sz w:val="18"/>
          <w:szCs w:val="18"/>
        </w:rPr>
      </w:pPr>
      <w:r w:rsidRPr="00DE7B81">
        <w:rPr>
          <w:rFonts w:ascii="Helvetica" w:hAnsi="Helvetica" w:cs="Arial"/>
          <w:color w:val="000000"/>
          <w:sz w:val="18"/>
          <w:szCs w:val="18"/>
        </w:rPr>
        <w:t>*</w:t>
      </w:r>
      <w:r w:rsidRPr="00DE7B81">
        <w:rPr>
          <w:rFonts w:ascii="Helvetica" w:hAnsi="Helvetica" w:cs="Arial"/>
          <w:color w:val="000000"/>
          <w:sz w:val="18"/>
          <w:szCs w:val="18"/>
        </w:rPr>
        <w:tab/>
        <w:t>Includes changes in asset value due to market movements, income, reinvestments and distributions.</w:t>
      </w:r>
    </w:p>
    <w:p w:rsidR="008937A3" w:rsidRPr="00DE7B81" w:rsidRDefault="00C2162F" w:rsidP="00B26F5E">
      <w:pPr>
        <w:autoSpaceDE w:val="0"/>
        <w:autoSpaceDN w:val="0"/>
        <w:adjustRightInd w:val="0"/>
        <w:spacing w:after="240"/>
        <w:rPr>
          <w:rFonts w:ascii="Helvetica" w:hAnsi="Helvetica" w:cs="Arial"/>
          <w:color w:val="000000"/>
          <w:sz w:val="22"/>
          <w:szCs w:val="22"/>
        </w:rPr>
      </w:pPr>
      <w:r w:rsidRPr="00DE7B81">
        <w:rPr>
          <w:rFonts w:ascii="Helvetica" w:hAnsi="Helvetica" w:cs="Arial"/>
          <w:color w:val="000000"/>
          <w:sz w:val="22"/>
          <w:szCs w:val="22"/>
        </w:rPr>
        <w:t>Managing Director Phillip Vernon commented that “the growth in net flows continues to reflect our sales and marketing strategies, consistently strong investment performance and the continual improvement in the overall competitiveness of our products. This is the seventh consecutive quarter of net inflows. Net flows for this quarter of $34.</w:t>
      </w:r>
      <w:r w:rsidR="00A63BF5">
        <w:rPr>
          <w:rFonts w:ascii="Helvetica" w:hAnsi="Helvetica" w:cs="Arial"/>
          <w:color w:val="000000"/>
          <w:sz w:val="22"/>
          <w:szCs w:val="22"/>
        </w:rPr>
        <w:t>8</w:t>
      </w:r>
      <w:r w:rsidRPr="00DE7B81">
        <w:rPr>
          <w:rFonts w:ascii="Helvetica" w:hAnsi="Helvetica" w:cs="Arial"/>
          <w:color w:val="000000"/>
          <w:sz w:val="22"/>
          <w:szCs w:val="22"/>
        </w:rPr>
        <w:t>m are similar to the previous quarter and twice as high as the same period last year ($17.0m)”.</w:t>
      </w:r>
    </w:p>
    <w:p w:rsidR="00600A4E" w:rsidRPr="004D5603" w:rsidRDefault="00C2162F" w:rsidP="00B26F5E">
      <w:pPr>
        <w:autoSpaceDE w:val="0"/>
        <w:autoSpaceDN w:val="0"/>
        <w:adjustRightInd w:val="0"/>
        <w:spacing w:after="240"/>
        <w:rPr>
          <w:rFonts w:ascii="Helvetica" w:hAnsi="Helvetica" w:cs="Arial"/>
          <w:color w:val="000000"/>
          <w:sz w:val="22"/>
          <w:szCs w:val="22"/>
        </w:rPr>
      </w:pPr>
      <w:r w:rsidRPr="004D5603">
        <w:rPr>
          <w:rFonts w:ascii="Helvetica" w:hAnsi="Helvetica" w:cs="Arial"/>
          <w:color w:val="000000"/>
          <w:sz w:val="22"/>
          <w:szCs w:val="22"/>
        </w:rPr>
        <w:t xml:space="preserve">“During the quarter our flagship fund, the Smaller Companies Trust celebrated its 20th anniversary. The fund has achieved a return of </w:t>
      </w:r>
      <w:r w:rsidR="007C6D5F" w:rsidRPr="004D5603">
        <w:rPr>
          <w:rFonts w:ascii="Helvetica" w:hAnsi="Helvetica" w:cs="Arial"/>
          <w:color w:val="000000"/>
          <w:sz w:val="22"/>
          <w:szCs w:val="22"/>
        </w:rPr>
        <w:t>10.0</w:t>
      </w:r>
      <w:r w:rsidRPr="004D5603">
        <w:rPr>
          <w:rFonts w:ascii="Helvetica" w:hAnsi="Helvetica" w:cs="Arial"/>
          <w:color w:val="000000"/>
          <w:sz w:val="22"/>
          <w:szCs w:val="22"/>
        </w:rPr>
        <w:t>% per annum (net of fees) over th</w:t>
      </w:r>
      <w:r w:rsidR="0030730E">
        <w:rPr>
          <w:rFonts w:ascii="Helvetica" w:hAnsi="Helvetica" w:cs="Arial"/>
          <w:color w:val="000000"/>
          <w:sz w:val="22"/>
          <w:szCs w:val="22"/>
        </w:rPr>
        <w:t>at period</w:t>
      </w:r>
      <w:r w:rsidRPr="004D5603">
        <w:rPr>
          <w:rFonts w:ascii="Helvetica" w:hAnsi="Helvetica" w:cs="Arial"/>
          <w:color w:val="000000"/>
          <w:sz w:val="22"/>
          <w:szCs w:val="22"/>
        </w:rPr>
        <w:t>, significantly outperforming its benchmark index by 3.1% pa</w:t>
      </w:r>
      <w:r w:rsidR="00DE7B81" w:rsidRPr="004D5603">
        <w:rPr>
          <w:rFonts w:ascii="Helvetica" w:hAnsi="Helvetica" w:cs="Arial"/>
          <w:color w:val="000000"/>
          <w:sz w:val="22"/>
          <w:szCs w:val="22"/>
        </w:rPr>
        <w:t>. It</w:t>
      </w:r>
      <w:r w:rsidR="00D1457E">
        <w:rPr>
          <w:rFonts w:ascii="Helvetica" w:hAnsi="Helvetica" w:cs="Arial"/>
          <w:color w:val="000000"/>
          <w:sz w:val="22"/>
          <w:szCs w:val="22"/>
        </w:rPr>
        <w:t xml:space="preserve"> </w:t>
      </w:r>
      <w:r w:rsidRPr="004D5603">
        <w:rPr>
          <w:rFonts w:ascii="Helvetica" w:hAnsi="Helvetica" w:cs="Arial"/>
          <w:color w:val="000000"/>
          <w:sz w:val="22"/>
          <w:szCs w:val="22"/>
        </w:rPr>
        <w:t>is consistently ranked as one of the top performing funds in its class, according to the Mercer Investment Performance Survey.”</w:t>
      </w:r>
    </w:p>
    <w:p w:rsidR="00600A4E" w:rsidRPr="004D5603" w:rsidRDefault="00C2162F" w:rsidP="00B26F5E">
      <w:pPr>
        <w:autoSpaceDE w:val="0"/>
        <w:autoSpaceDN w:val="0"/>
        <w:adjustRightInd w:val="0"/>
        <w:spacing w:after="240"/>
        <w:rPr>
          <w:rFonts w:ascii="Helvetica" w:hAnsi="Helvetica" w:cs="Arial"/>
          <w:color w:val="000000"/>
          <w:sz w:val="22"/>
          <w:szCs w:val="22"/>
        </w:rPr>
        <w:sectPr w:rsidR="00600A4E" w:rsidRPr="004D5603" w:rsidSect="005D1BBD">
          <w:headerReference w:type="default" r:id="rId8"/>
          <w:footerReference w:type="default" r:id="rId9"/>
          <w:pgSz w:w="11907" w:h="16840" w:code="9"/>
          <w:pgMar w:top="1440" w:right="1440" w:bottom="1440" w:left="1440" w:header="709" w:footer="709" w:gutter="0"/>
          <w:cols w:space="708"/>
          <w:docGrid w:linePitch="360"/>
        </w:sectPr>
      </w:pPr>
      <w:r w:rsidRPr="004D5603">
        <w:rPr>
          <w:rFonts w:ascii="Helvetica" w:hAnsi="Helvetica" w:cs="Arial"/>
          <w:color w:val="000000"/>
          <w:sz w:val="22"/>
          <w:szCs w:val="22"/>
        </w:rPr>
        <w:t>“In addition, our International Equities Trust</w:t>
      </w:r>
      <w:r w:rsidR="007C6D5F" w:rsidRPr="004D5603">
        <w:rPr>
          <w:rFonts w:ascii="Helvetica" w:hAnsi="Helvetica" w:cs="Arial"/>
          <w:color w:val="000000"/>
          <w:sz w:val="22"/>
          <w:szCs w:val="22"/>
        </w:rPr>
        <w:t xml:space="preserve"> </w:t>
      </w:r>
      <w:r w:rsidRPr="004D5603">
        <w:rPr>
          <w:rFonts w:ascii="Helvetica" w:hAnsi="Helvetica" w:cs="Arial"/>
          <w:color w:val="000000"/>
          <w:sz w:val="22"/>
          <w:szCs w:val="22"/>
        </w:rPr>
        <w:t xml:space="preserve">was named the Best International Equities fund in the recent Australian Fund Manager Awards (AFMA) beating competition from the likes of Platinum and Perennial. </w:t>
      </w:r>
      <w:r w:rsidR="007C6D5F" w:rsidRPr="004D5603">
        <w:rPr>
          <w:rFonts w:ascii="Helvetica" w:hAnsi="Helvetica" w:cs="Arial"/>
          <w:color w:val="000000"/>
          <w:sz w:val="22"/>
          <w:szCs w:val="22"/>
        </w:rPr>
        <w:t>The I</w:t>
      </w:r>
      <w:r w:rsidR="008E4C77" w:rsidRPr="004D5603">
        <w:rPr>
          <w:rFonts w:ascii="Helvetica" w:hAnsi="Helvetica" w:cs="Arial"/>
          <w:color w:val="000000"/>
          <w:sz w:val="22"/>
          <w:szCs w:val="22"/>
        </w:rPr>
        <w:t xml:space="preserve">nternational Trust </w:t>
      </w:r>
      <w:r w:rsidR="007C6D5F" w:rsidRPr="004D5603">
        <w:rPr>
          <w:rFonts w:ascii="Helvetica" w:hAnsi="Helvetica" w:cs="Arial"/>
          <w:color w:val="000000"/>
          <w:sz w:val="22"/>
          <w:szCs w:val="22"/>
        </w:rPr>
        <w:t xml:space="preserve">is </w:t>
      </w:r>
      <w:r w:rsidRPr="004D5603">
        <w:rPr>
          <w:rFonts w:ascii="Helvetica" w:hAnsi="Helvetica" w:cs="Arial"/>
          <w:color w:val="000000"/>
          <w:sz w:val="22"/>
          <w:szCs w:val="22"/>
        </w:rPr>
        <w:t xml:space="preserve">the first ethical </w:t>
      </w:r>
      <w:r w:rsidR="007C6D5F" w:rsidRPr="004D5603">
        <w:rPr>
          <w:rFonts w:ascii="Helvetica" w:hAnsi="Helvetica" w:cs="Arial"/>
          <w:color w:val="000000"/>
          <w:sz w:val="22"/>
          <w:szCs w:val="22"/>
        </w:rPr>
        <w:t>fund</w:t>
      </w:r>
      <w:r w:rsidRPr="004D5603">
        <w:rPr>
          <w:rFonts w:ascii="Helvetica" w:hAnsi="Helvetica" w:cs="Arial"/>
          <w:color w:val="000000"/>
          <w:sz w:val="22"/>
          <w:szCs w:val="22"/>
        </w:rPr>
        <w:t xml:space="preserve"> to </w:t>
      </w:r>
      <w:r w:rsidR="007C6D5F" w:rsidRPr="004D5603">
        <w:rPr>
          <w:rFonts w:ascii="Helvetica" w:hAnsi="Helvetica" w:cs="Arial"/>
          <w:color w:val="000000"/>
          <w:sz w:val="22"/>
          <w:szCs w:val="22"/>
        </w:rPr>
        <w:t xml:space="preserve">ever </w:t>
      </w:r>
      <w:r w:rsidRPr="004D5603">
        <w:rPr>
          <w:rFonts w:ascii="Helvetica" w:hAnsi="Helvetica" w:cs="Arial"/>
          <w:color w:val="000000"/>
          <w:sz w:val="22"/>
          <w:szCs w:val="22"/>
        </w:rPr>
        <w:t xml:space="preserve">win </w:t>
      </w:r>
      <w:r w:rsidR="008E4C77" w:rsidRPr="004D5603">
        <w:rPr>
          <w:rFonts w:ascii="Helvetica" w:hAnsi="Helvetica" w:cs="Arial"/>
          <w:color w:val="000000"/>
          <w:sz w:val="22"/>
          <w:szCs w:val="22"/>
        </w:rPr>
        <w:t xml:space="preserve">in these awards </w:t>
      </w:r>
      <w:r w:rsidRPr="004D5603">
        <w:rPr>
          <w:rFonts w:ascii="Helvetica" w:hAnsi="Helvetica" w:cs="Arial"/>
          <w:color w:val="000000"/>
          <w:sz w:val="22"/>
          <w:szCs w:val="22"/>
        </w:rPr>
        <w:t>and was a magnificent achievement by the team.”</w:t>
      </w:r>
    </w:p>
    <w:p w:rsidR="00E9049C" w:rsidRPr="00DD5067" w:rsidRDefault="002B4F9F" w:rsidP="00ED75BF">
      <w:pPr>
        <w:autoSpaceDE w:val="0"/>
        <w:autoSpaceDN w:val="0"/>
        <w:adjustRightInd w:val="0"/>
        <w:ind w:left="426"/>
        <w:rPr>
          <w:rFonts w:ascii="Helvetica" w:hAnsi="Helvetica" w:cs="Helvetica"/>
          <w:sz w:val="24"/>
          <w:szCs w:val="24"/>
        </w:rPr>
      </w:pPr>
      <w:r>
        <w:rPr>
          <w:rFonts w:ascii="Helvetica" w:hAnsi="Helvetica"/>
          <w:noProof/>
          <w:sz w:val="24"/>
          <w:szCs w:val="24"/>
          <w:lang w:val="en-US"/>
        </w:rPr>
        <w:lastRenderedPageBreak/>
        <w:drawing>
          <wp:inline distT="0" distB="0" distL="0" distR="0">
            <wp:extent cx="8864600" cy="5671820"/>
            <wp:effectExtent l="0" t="0" r="0" b="508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864600" cy="5671820"/>
                    </a:xfrm>
                    <a:prstGeom prst="rect">
                      <a:avLst/>
                    </a:prstGeom>
                    <a:noFill/>
                    <a:ln w="9525">
                      <a:noFill/>
                      <a:miter lim="800000"/>
                      <a:headEnd/>
                      <a:tailEnd/>
                    </a:ln>
                  </pic:spPr>
                </pic:pic>
              </a:graphicData>
            </a:graphic>
          </wp:inline>
        </w:drawing>
      </w:r>
    </w:p>
    <w:sectPr w:rsidR="00E9049C" w:rsidRPr="00DD5067" w:rsidSect="005D1BBD">
      <w:headerReference w:type="default" r:id="rId1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5B" w:rsidRDefault="00A36D5B">
      <w:r>
        <w:separator/>
      </w:r>
    </w:p>
  </w:endnote>
  <w:endnote w:type="continuationSeparator" w:id="0">
    <w:p w:rsidR="00A36D5B" w:rsidRDefault="00A3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altName w:val="Malgun Gothic"/>
    <w:panose1 w:val="02000503000000020004"/>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A4" w:rsidRPr="00911AF5" w:rsidRDefault="00E9049C" w:rsidP="009D1EA4">
    <w:pPr>
      <w:pStyle w:val="Footer"/>
      <w:ind w:right="-45"/>
      <w:jc w:val="right"/>
      <w:rPr>
        <w:sz w:val="16"/>
        <w:szCs w:val="16"/>
      </w:rPr>
    </w:pPr>
    <w:r>
      <w:rPr>
        <w:noProof/>
        <w:lang w:val="en-US"/>
      </w:rPr>
      <w:drawing>
        <wp:anchor distT="180340" distB="180340" distL="114935" distR="114935" simplePos="0" relativeHeight="251658240" behindDoc="0" locked="0" layoutInCell="1" allowOverlap="1" wp14:anchorId="7871EA76" wp14:editId="453CBB7C">
          <wp:simplePos x="0" y="0"/>
          <wp:positionH relativeFrom="page">
            <wp:posOffset>19050</wp:posOffset>
          </wp:positionH>
          <wp:positionV relativeFrom="page">
            <wp:posOffset>9815195</wp:posOffset>
          </wp:positionV>
          <wp:extent cx="7560310" cy="878205"/>
          <wp:effectExtent l="19050" t="0" r="2540" b="0"/>
          <wp:wrapSquare wrapText="bothSides"/>
          <wp:docPr id="4" name="Picture 5" descr="41234 AE WORD TEMPLATES DIGITAL_ASX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1234 AE WORD TEMPLATES DIGITAL_ASX_BOTTOM.jpg"/>
                  <pic:cNvPicPr>
                    <a:picLocks noChangeAspect="1" noChangeArrowheads="1"/>
                  </pic:cNvPicPr>
                </pic:nvPicPr>
                <pic:blipFill>
                  <a:blip r:embed="rId1"/>
                  <a:srcRect/>
                  <a:stretch>
                    <a:fillRect/>
                  </a:stretch>
                </pic:blipFill>
                <pic:spPr bwMode="auto">
                  <a:xfrm>
                    <a:off x="0" y="0"/>
                    <a:ext cx="7560310" cy="8782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5B" w:rsidRDefault="00A36D5B">
      <w:r>
        <w:separator/>
      </w:r>
    </w:p>
  </w:footnote>
  <w:footnote w:type="continuationSeparator" w:id="0">
    <w:p w:rsidR="00A36D5B" w:rsidRDefault="00A36D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A4" w:rsidRPr="001A20E4" w:rsidRDefault="00E9049C">
    <w:pPr>
      <w:pStyle w:val="Header"/>
      <w:rPr>
        <w:sz w:val="16"/>
        <w:szCs w:val="16"/>
      </w:rPr>
    </w:pPr>
    <w:r w:rsidRPr="001A20E4">
      <w:rPr>
        <w:noProof/>
        <w:sz w:val="16"/>
        <w:szCs w:val="16"/>
        <w:lang w:val="en-US"/>
      </w:rPr>
      <w:drawing>
        <wp:anchor distT="180340" distB="180340" distL="114935" distR="114935" simplePos="0" relativeHeight="251657216" behindDoc="0" locked="0" layoutInCell="1" allowOverlap="1" wp14:anchorId="5352E628" wp14:editId="2E5470A3">
          <wp:simplePos x="0" y="0"/>
          <wp:positionH relativeFrom="page">
            <wp:posOffset>314325</wp:posOffset>
          </wp:positionH>
          <wp:positionV relativeFrom="page">
            <wp:posOffset>142875</wp:posOffset>
          </wp:positionV>
          <wp:extent cx="6896100" cy="1009650"/>
          <wp:effectExtent l="19050" t="0" r="0" b="0"/>
          <wp:wrapSquare wrapText="bothSides"/>
          <wp:docPr id="3" name="Picture 4" descr="41234 AE WORD TEMPLATES DIGITAL_ASX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1234 AE WORD TEMPLATES DIGITAL_ASX_TOP.jpg"/>
                  <pic:cNvPicPr>
                    <a:picLocks noChangeAspect="1" noChangeArrowheads="1"/>
                  </pic:cNvPicPr>
                </pic:nvPicPr>
                <pic:blipFill>
                  <a:blip r:embed="rId1"/>
                  <a:srcRect/>
                  <a:stretch>
                    <a:fillRect/>
                  </a:stretch>
                </pic:blipFill>
                <pic:spPr bwMode="auto">
                  <a:xfrm>
                    <a:off x="0" y="0"/>
                    <a:ext cx="6896100" cy="1009650"/>
                  </a:xfrm>
                  <a:prstGeom prst="rect">
                    <a:avLst/>
                  </a:prstGeom>
                  <a:noFill/>
                  <a:ln w="9525">
                    <a:noFill/>
                    <a:miter lim="800000"/>
                    <a:headEnd/>
                    <a:tailEnd/>
                  </a:ln>
                </pic:spPr>
              </pic:pic>
            </a:graphicData>
          </a:graphic>
        </wp:anchor>
      </w:drawing>
    </w:r>
    <w:r w:rsidR="001A20E4" w:rsidRPr="001A20E4">
      <w:rPr>
        <w:sz w:val="16"/>
        <w:szCs w:val="16"/>
      </w:rPr>
      <w:t>058</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D4" w:rsidRDefault="001477D4">
    <w:pPr>
      <w:pStyle w:val="Header"/>
    </w:pPr>
    <w:r>
      <w:rPr>
        <w:noProof/>
        <w:lang w:val="en-US"/>
      </w:rPr>
      <w:drawing>
        <wp:anchor distT="180340" distB="180340" distL="114935" distR="114935" simplePos="0" relativeHeight="251660288" behindDoc="0" locked="0" layoutInCell="1" allowOverlap="1">
          <wp:simplePos x="0" y="0"/>
          <wp:positionH relativeFrom="page">
            <wp:posOffset>1133475</wp:posOffset>
          </wp:positionH>
          <wp:positionV relativeFrom="page">
            <wp:posOffset>142875</wp:posOffset>
          </wp:positionV>
          <wp:extent cx="8439150" cy="1009650"/>
          <wp:effectExtent l="19050" t="0" r="0" b="0"/>
          <wp:wrapSquare wrapText="bothSides"/>
          <wp:docPr id="2" name="Picture 4" descr="41234 AE WORD TEMPLATES DIGITAL_ASX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1234 AE WORD TEMPLATES DIGITAL_ASX_TOP.jpg"/>
                  <pic:cNvPicPr>
                    <a:picLocks noChangeAspect="1" noChangeArrowheads="1"/>
                  </pic:cNvPicPr>
                </pic:nvPicPr>
                <pic:blipFill>
                  <a:blip r:embed="rId1"/>
                  <a:srcRect/>
                  <a:stretch>
                    <a:fillRect/>
                  </a:stretch>
                </pic:blipFill>
                <pic:spPr bwMode="auto">
                  <a:xfrm>
                    <a:off x="0" y="0"/>
                    <a:ext cx="8439150" cy="10096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149B05"/>
    <w:multiLevelType w:val="hybridMultilevel"/>
    <w:tmpl w:val="A4A4B0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805DE"/>
    <w:multiLevelType w:val="hybridMultilevel"/>
    <w:tmpl w:val="AF22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60C0"/>
    <w:multiLevelType w:val="hybridMultilevel"/>
    <w:tmpl w:val="3B66073E"/>
    <w:lvl w:ilvl="0" w:tplc="B7CE071E">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Symbo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Symbol"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8C646A0"/>
    <w:multiLevelType w:val="hybridMultilevel"/>
    <w:tmpl w:val="251E3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A8229B"/>
    <w:multiLevelType w:val="hybridMultilevel"/>
    <w:tmpl w:val="B88E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2C6E7F"/>
    <w:multiLevelType w:val="hybridMultilevel"/>
    <w:tmpl w:val="635A10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85343C"/>
    <w:multiLevelType w:val="hybridMultilevel"/>
    <w:tmpl w:val="1F8828F2"/>
    <w:lvl w:ilvl="0" w:tplc="AF30481A">
      <w:numFmt w:val="bullet"/>
      <w:lvlText w:val="-"/>
      <w:lvlJc w:val="left"/>
      <w:pPr>
        <w:ind w:left="720" w:hanging="360"/>
      </w:pPr>
      <w:rPr>
        <w:rFonts w:ascii="Arial" w:eastAsia="Calibri" w:hAnsi="Arial" w:cs="Helvetica Neue"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7A4177"/>
    <w:multiLevelType w:val="hybridMultilevel"/>
    <w:tmpl w:val="4DD2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A15AC"/>
    <w:multiLevelType w:val="hybridMultilevel"/>
    <w:tmpl w:val="D3E0E13C"/>
    <w:lvl w:ilvl="0" w:tplc="C91CAA62">
      <w:start w:val="1"/>
      <w:numFmt w:val="bullet"/>
      <w:lvlText w:val=""/>
      <w:lvlJc w:val="left"/>
      <w:pPr>
        <w:ind w:left="360" w:hanging="360"/>
      </w:pPr>
      <w:rPr>
        <w:rFonts w:ascii="Symbol" w:hAnsi="Symbol" w:hint="default"/>
      </w:rPr>
    </w:lvl>
    <w:lvl w:ilvl="1" w:tplc="B7CE071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8E92207"/>
    <w:multiLevelType w:val="hybridMultilevel"/>
    <w:tmpl w:val="3E1046F4"/>
    <w:lvl w:ilvl="0" w:tplc="B7CE071E">
      <w:start w:val="1"/>
      <w:numFmt w:val="bullet"/>
      <w:lvlText w:val="­"/>
      <w:lvlJc w:val="left"/>
      <w:pPr>
        <w:ind w:left="360" w:hanging="360"/>
      </w:pPr>
      <w:rPr>
        <w:rFonts w:ascii="Courier New" w:hAnsi="Courier New" w:hint="default"/>
      </w:rPr>
    </w:lvl>
    <w:lvl w:ilvl="1" w:tplc="B7CE071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D991420"/>
    <w:multiLevelType w:val="hybridMultilevel"/>
    <w:tmpl w:val="7F8EDFD0"/>
    <w:lvl w:ilvl="0" w:tplc="C91CAA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D05855"/>
    <w:multiLevelType w:val="multilevel"/>
    <w:tmpl w:val="FFEC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052DB2"/>
    <w:multiLevelType w:val="hybridMultilevel"/>
    <w:tmpl w:val="5EBEF222"/>
    <w:lvl w:ilvl="0" w:tplc="C91CAA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9D020B3"/>
    <w:multiLevelType w:val="hybridMultilevel"/>
    <w:tmpl w:val="B65A502E"/>
    <w:lvl w:ilvl="0" w:tplc="C91CAA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DBA4C47"/>
    <w:multiLevelType w:val="hybridMultilevel"/>
    <w:tmpl w:val="EF9E484A"/>
    <w:lvl w:ilvl="0" w:tplc="B7CE071E">
      <w:start w:val="1"/>
      <w:numFmt w:val="bullet"/>
      <w:lvlText w:val="­"/>
      <w:lvlJc w:val="left"/>
      <w:pPr>
        <w:ind w:left="360" w:hanging="360"/>
      </w:pPr>
      <w:rPr>
        <w:rFonts w:ascii="Courier New" w:hAnsi="Courier New" w:hint="default"/>
      </w:rPr>
    </w:lvl>
    <w:lvl w:ilvl="1" w:tplc="B7CE071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EED39C4"/>
    <w:multiLevelType w:val="hybridMultilevel"/>
    <w:tmpl w:val="30E4E1FC"/>
    <w:lvl w:ilvl="0" w:tplc="0C090003">
      <w:start w:val="1"/>
      <w:numFmt w:val="bullet"/>
      <w:lvlText w:val="o"/>
      <w:lvlJc w:val="left"/>
      <w:pPr>
        <w:ind w:left="1353" w:hanging="360"/>
      </w:pPr>
      <w:rPr>
        <w:rFonts w:ascii="Courier New" w:hAnsi="Courier New" w:cs="Courier New"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6">
    <w:nsid w:val="41A525E5"/>
    <w:multiLevelType w:val="hybridMultilevel"/>
    <w:tmpl w:val="F9EA09AE"/>
    <w:lvl w:ilvl="0" w:tplc="C91CAA6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Symbo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Symbol"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CA5149B"/>
    <w:multiLevelType w:val="hybridMultilevel"/>
    <w:tmpl w:val="E11CAE8A"/>
    <w:lvl w:ilvl="0" w:tplc="991A248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5E750CA"/>
    <w:multiLevelType w:val="hybridMultilevel"/>
    <w:tmpl w:val="2E26B18C"/>
    <w:lvl w:ilvl="0" w:tplc="18549AC4">
      <w:start w:val="1"/>
      <w:numFmt w:val="bullet"/>
      <w:pStyle w:val="ListBullet2"/>
      <w:lvlText w:val=""/>
      <w:lvlJc w:val="left"/>
      <w:pPr>
        <w:tabs>
          <w:tab w:val="num" w:pos="792"/>
        </w:tabs>
        <w:ind w:left="792" w:hanging="432"/>
      </w:pPr>
      <w:rPr>
        <w:rFonts w:ascii="Wingdings" w:hAnsi="Wingdings" w:hint="default"/>
        <w:color w:val="auto"/>
        <w:sz w:val="20"/>
      </w:rPr>
    </w:lvl>
    <w:lvl w:ilvl="1" w:tplc="0C090003" w:tentative="1">
      <w:start w:val="1"/>
      <w:numFmt w:val="bullet"/>
      <w:lvlText w:val="o"/>
      <w:lvlJc w:val="left"/>
      <w:pPr>
        <w:tabs>
          <w:tab w:val="num" w:pos="1740"/>
        </w:tabs>
        <w:ind w:left="1740" w:hanging="360"/>
      </w:pPr>
      <w:rPr>
        <w:rFonts w:ascii="Courier New" w:hAnsi="Courier New" w:cs="Helvetica Neue"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Helvetica Neue"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Helvetica Neue"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19">
    <w:nsid w:val="5A693758"/>
    <w:multiLevelType w:val="hybridMultilevel"/>
    <w:tmpl w:val="37F073FA"/>
    <w:lvl w:ilvl="0" w:tplc="C91CAA62">
      <w:start w:val="1"/>
      <w:numFmt w:val="bullet"/>
      <w:lvlText w:val=""/>
      <w:lvlJc w:val="left"/>
      <w:pPr>
        <w:ind w:left="360" w:hanging="360"/>
      </w:pPr>
      <w:rPr>
        <w:rFonts w:ascii="Symbol" w:hAnsi="Symbol" w:hint="default"/>
      </w:rPr>
    </w:lvl>
    <w:lvl w:ilvl="1" w:tplc="B7CE071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9826A1E"/>
    <w:multiLevelType w:val="hybridMultilevel"/>
    <w:tmpl w:val="7DA47680"/>
    <w:lvl w:ilvl="0" w:tplc="C91CAA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55103D"/>
    <w:multiLevelType w:val="hybridMultilevel"/>
    <w:tmpl w:val="4E2A01FC"/>
    <w:lvl w:ilvl="0" w:tplc="C91CAA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F2646EF"/>
    <w:multiLevelType w:val="hybridMultilevel"/>
    <w:tmpl w:val="0A3E6A66"/>
    <w:lvl w:ilvl="0" w:tplc="C91CAA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3D75C4A"/>
    <w:multiLevelType w:val="hybridMultilevel"/>
    <w:tmpl w:val="8A22A790"/>
    <w:lvl w:ilvl="0" w:tplc="AF30481A">
      <w:numFmt w:val="bullet"/>
      <w:lvlText w:val="-"/>
      <w:lvlJc w:val="left"/>
      <w:pPr>
        <w:ind w:left="1080" w:hanging="360"/>
      </w:pPr>
      <w:rPr>
        <w:rFonts w:ascii="Arial" w:eastAsia="Calibri" w:hAnsi="Arial" w:cs="Helvetica Neue"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636391"/>
    <w:multiLevelType w:val="hybridMultilevel"/>
    <w:tmpl w:val="FA2ADE10"/>
    <w:lvl w:ilvl="0" w:tplc="C91CAA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86800CA"/>
    <w:multiLevelType w:val="hybridMultilevel"/>
    <w:tmpl w:val="03AE7442"/>
    <w:lvl w:ilvl="0" w:tplc="0E8C74E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BE8337E"/>
    <w:multiLevelType w:val="singleLevel"/>
    <w:tmpl w:val="003410CC"/>
    <w:lvl w:ilvl="0">
      <w:start w:val="1"/>
      <w:numFmt w:val="bullet"/>
      <w:lvlText w:val=""/>
      <w:lvlJc w:val="left"/>
      <w:pPr>
        <w:tabs>
          <w:tab w:val="num" w:pos="360"/>
        </w:tabs>
        <w:ind w:left="360" w:hanging="360"/>
      </w:pPr>
      <w:rPr>
        <w:rFonts w:ascii="Symbol" w:hAnsi="Symbol" w:hint="default"/>
        <w:sz w:val="16"/>
      </w:rPr>
    </w:lvl>
  </w:abstractNum>
  <w:num w:numId="1">
    <w:abstractNumId w:val="18"/>
  </w:num>
  <w:num w:numId="2">
    <w:abstractNumId w:val="25"/>
  </w:num>
  <w:num w:numId="3">
    <w:abstractNumId w:val="26"/>
  </w:num>
  <w:num w:numId="4">
    <w:abstractNumId w:val="23"/>
  </w:num>
  <w:num w:numId="5">
    <w:abstractNumId w:val="19"/>
  </w:num>
  <w:num w:numId="6">
    <w:abstractNumId w:val="13"/>
  </w:num>
  <w:num w:numId="7">
    <w:abstractNumId w:val="12"/>
  </w:num>
  <w:num w:numId="8">
    <w:abstractNumId w:val="24"/>
  </w:num>
  <w:num w:numId="9">
    <w:abstractNumId w:val="11"/>
  </w:num>
  <w:num w:numId="10">
    <w:abstractNumId w:val="1"/>
  </w:num>
  <w:num w:numId="11">
    <w:abstractNumId w:val="7"/>
  </w:num>
  <w:num w:numId="12">
    <w:abstractNumId w:val="6"/>
  </w:num>
  <w:num w:numId="13">
    <w:abstractNumId w:val="0"/>
  </w:num>
  <w:num w:numId="14">
    <w:abstractNumId w:val="10"/>
  </w:num>
  <w:num w:numId="15">
    <w:abstractNumId w:val="16"/>
  </w:num>
  <w:num w:numId="16">
    <w:abstractNumId w:val="8"/>
  </w:num>
  <w:num w:numId="17">
    <w:abstractNumId w:val="21"/>
  </w:num>
  <w:num w:numId="18">
    <w:abstractNumId w:val="22"/>
  </w:num>
  <w:num w:numId="19">
    <w:abstractNumId w:val="20"/>
  </w:num>
  <w:num w:numId="20">
    <w:abstractNumId w:val="2"/>
  </w:num>
  <w:num w:numId="21">
    <w:abstractNumId w:val="17"/>
  </w:num>
  <w:num w:numId="22">
    <w:abstractNumId w:val="9"/>
  </w:num>
  <w:num w:numId="23">
    <w:abstractNumId w:val="14"/>
  </w:num>
  <w:num w:numId="24">
    <w:abstractNumId w:val="4"/>
  </w:num>
  <w:num w:numId="25">
    <w:abstractNumId w:val="15"/>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o:colormru v:ext="edit" colors="#0092d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C7163E"/>
    <w:rsid w:val="000169CA"/>
    <w:rsid w:val="0002604A"/>
    <w:rsid w:val="00053F41"/>
    <w:rsid w:val="00057629"/>
    <w:rsid w:val="00081376"/>
    <w:rsid w:val="000D41CF"/>
    <w:rsid w:val="00123293"/>
    <w:rsid w:val="001477D4"/>
    <w:rsid w:val="00194911"/>
    <w:rsid w:val="001A20E4"/>
    <w:rsid w:val="001C2579"/>
    <w:rsid w:val="001C57CB"/>
    <w:rsid w:val="001E08D0"/>
    <w:rsid w:val="001E54DC"/>
    <w:rsid w:val="002421B1"/>
    <w:rsid w:val="002B4F9F"/>
    <w:rsid w:val="002C3CA4"/>
    <w:rsid w:val="0030730E"/>
    <w:rsid w:val="00307FE1"/>
    <w:rsid w:val="003A1628"/>
    <w:rsid w:val="003D40A5"/>
    <w:rsid w:val="00406024"/>
    <w:rsid w:val="00451962"/>
    <w:rsid w:val="0047359F"/>
    <w:rsid w:val="004B04D6"/>
    <w:rsid w:val="004B1069"/>
    <w:rsid w:val="004B3479"/>
    <w:rsid w:val="004D5603"/>
    <w:rsid w:val="004D7049"/>
    <w:rsid w:val="005079DF"/>
    <w:rsid w:val="00517388"/>
    <w:rsid w:val="00571D2C"/>
    <w:rsid w:val="00576D5A"/>
    <w:rsid w:val="00581CCB"/>
    <w:rsid w:val="005A25C0"/>
    <w:rsid w:val="005C1342"/>
    <w:rsid w:val="005D1BBD"/>
    <w:rsid w:val="00600A4E"/>
    <w:rsid w:val="00615639"/>
    <w:rsid w:val="006228DC"/>
    <w:rsid w:val="0067454E"/>
    <w:rsid w:val="00675330"/>
    <w:rsid w:val="006A33E8"/>
    <w:rsid w:val="006E5624"/>
    <w:rsid w:val="007073E5"/>
    <w:rsid w:val="0072422F"/>
    <w:rsid w:val="00774839"/>
    <w:rsid w:val="0077556A"/>
    <w:rsid w:val="00794BD8"/>
    <w:rsid w:val="007C6D5F"/>
    <w:rsid w:val="008544E5"/>
    <w:rsid w:val="00873140"/>
    <w:rsid w:val="008937A3"/>
    <w:rsid w:val="0089552E"/>
    <w:rsid w:val="008E4C77"/>
    <w:rsid w:val="009076B6"/>
    <w:rsid w:val="009132B7"/>
    <w:rsid w:val="00924136"/>
    <w:rsid w:val="0096795B"/>
    <w:rsid w:val="009B37EE"/>
    <w:rsid w:val="009D1EA4"/>
    <w:rsid w:val="00A136B6"/>
    <w:rsid w:val="00A322DB"/>
    <w:rsid w:val="00A36D5B"/>
    <w:rsid w:val="00A424F3"/>
    <w:rsid w:val="00A63BF5"/>
    <w:rsid w:val="00A72C1B"/>
    <w:rsid w:val="00A77582"/>
    <w:rsid w:val="00A92118"/>
    <w:rsid w:val="00A95D83"/>
    <w:rsid w:val="00AD6298"/>
    <w:rsid w:val="00B26F5E"/>
    <w:rsid w:val="00B67721"/>
    <w:rsid w:val="00B67F45"/>
    <w:rsid w:val="00B76606"/>
    <w:rsid w:val="00B95483"/>
    <w:rsid w:val="00BF2477"/>
    <w:rsid w:val="00BF39E7"/>
    <w:rsid w:val="00C171EE"/>
    <w:rsid w:val="00C2162F"/>
    <w:rsid w:val="00C7163E"/>
    <w:rsid w:val="00C90F1F"/>
    <w:rsid w:val="00CC5AF4"/>
    <w:rsid w:val="00CE0B51"/>
    <w:rsid w:val="00D1457E"/>
    <w:rsid w:val="00D326D7"/>
    <w:rsid w:val="00D4331E"/>
    <w:rsid w:val="00D94D92"/>
    <w:rsid w:val="00DB122C"/>
    <w:rsid w:val="00DC6773"/>
    <w:rsid w:val="00DD5067"/>
    <w:rsid w:val="00DE04B9"/>
    <w:rsid w:val="00DE7B81"/>
    <w:rsid w:val="00E02582"/>
    <w:rsid w:val="00E347AD"/>
    <w:rsid w:val="00E40B85"/>
    <w:rsid w:val="00E42872"/>
    <w:rsid w:val="00E5559C"/>
    <w:rsid w:val="00E84C05"/>
    <w:rsid w:val="00E8662A"/>
    <w:rsid w:val="00E9049C"/>
    <w:rsid w:val="00ED75BF"/>
    <w:rsid w:val="00F11504"/>
    <w:rsid w:val="00F76677"/>
    <w:rsid w:val="00FE17C6"/>
    <w:rsid w:val="00FF4A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92d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65"/>
    <w:rPr>
      <w:rFonts w:ascii="Arial" w:hAnsi="Arial"/>
      <w:lang w:eastAsia="en-US"/>
    </w:rPr>
  </w:style>
  <w:style w:type="paragraph" w:styleId="Heading1">
    <w:name w:val="heading 1"/>
    <w:basedOn w:val="Normal"/>
    <w:next w:val="Normal"/>
    <w:qFormat/>
    <w:rsid w:val="00FC7465"/>
    <w:pPr>
      <w:keepNext/>
      <w:outlineLvl w:val="0"/>
    </w:pPr>
    <w:rPr>
      <w:b/>
      <w:bCs/>
      <w:i/>
      <w:iCs/>
      <w:sz w:val="24"/>
      <w:szCs w:val="24"/>
    </w:rPr>
  </w:style>
  <w:style w:type="paragraph" w:styleId="Heading2">
    <w:name w:val="heading 2"/>
    <w:basedOn w:val="Normal"/>
    <w:next w:val="Normal"/>
    <w:link w:val="Heading2Char"/>
    <w:qFormat/>
    <w:rsid w:val="00DA63FC"/>
    <w:pPr>
      <w:keepNext/>
      <w:spacing w:before="240" w:after="60"/>
      <w:outlineLvl w:val="1"/>
    </w:pPr>
    <w:rPr>
      <w:b/>
      <w:bCs/>
      <w:i/>
      <w:iCs/>
      <w:sz w:val="28"/>
      <w:szCs w:val="28"/>
    </w:rPr>
  </w:style>
  <w:style w:type="paragraph" w:styleId="Heading3">
    <w:name w:val="heading 3"/>
    <w:basedOn w:val="Normal"/>
    <w:next w:val="Normal"/>
    <w:qFormat/>
    <w:rsid w:val="00FC74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F97"/>
    <w:pPr>
      <w:tabs>
        <w:tab w:val="center" w:pos="4320"/>
        <w:tab w:val="right" w:pos="8640"/>
      </w:tabs>
    </w:pPr>
  </w:style>
  <w:style w:type="paragraph" w:styleId="Footer">
    <w:name w:val="footer"/>
    <w:basedOn w:val="Normal"/>
    <w:rsid w:val="00930F97"/>
    <w:pPr>
      <w:tabs>
        <w:tab w:val="center" w:pos="4320"/>
        <w:tab w:val="right" w:pos="8640"/>
      </w:tabs>
    </w:pPr>
  </w:style>
  <w:style w:type="character" w:styleId="Hyperlink">
    <w:name w:val="Hyperlink"/>
    <w:rsid w:val="00FC7465"/>
    <w:rPr>
      <w:color w:val="0000FF"/>
      <w:u w:val="single"/>
    </w:rPr>
  </w:style>
  <w:style w:type="paragraph" w:styleId="ListBullet2">
    <w:name w:val="List Bullet 2"/>
    <w:basedOn w:val="Normal"/>
    <w:rsid w:val="00FC7465"/>
    <w:pPr>
      <w:numPr>
        <w:numId w:val="1"/>
      </w:numPr>
    </w:pPr>
  </w:style>
  <w:style w:type="paragraph" w:customStyle="1" w:styleId="NormalParagraphStyle">
    <w:name w:val="NormalParagraphStyle"/>
    <w:basedOn w:val="Normal"/>
    <w:rsid w:val="00911AF5"/>
    <w:pPr>
      <w:widowControl w:val="0"/>
      <w:autoSpaceDE w:val="0"/>
      <w:autoSpaceDN w:val="0"/>
      <w:adjustRightInd w:val="0"/>
      <w:spacing w:line="288" w:lineRule="auto"/>
      <w:textAlignment w:val="center"/>
    </w:pPr>
    <w:rPr>
      <w:rFonts w:ascii="Times-Roman" w:hAnsi="Times-Roman"/>
      <w:color w:val="000000"/>
      <w:sz w:val="24"/>
      <w:szCs w:val="24"/>
      <w:lang w:val="en-GB"/>
    </w:rPr>
  </w:style>
  <w:style w:type="character" w:customStyle="1" w:styleId="object">
    <w:name w:val="object"/>
    <w:basedOn w:val="DefaultParagraphFont"/>
    <w:rsid w:val="00F6095F"/>
  </w:style>
  <w:style w:type="paragraph" w:styleId="BalloonText">
    <w:name w:val="Balloon Text"/>
    <w:basedOn w:val="Normal"/>
    <w:semiHidden/>
    <w:rsid w:val="00BC4187"/>
    <w:rPr>
      <w:rFonts w:ascii="Tahoma" w:hAnsi="Tahoma" w:cs="Tahoma"/>
      <w:sz w:val="16"/>
      <w:szCs w:val="16"/>
    </w:rPr>
  </w:style>
  <w:style w:type="paragraph" w:customStyle="1" w:styleId="Checkboxes">
    <w:name w:val="Checkboxes"/>
    <w:basedOn w:val="Normal"/>
    <w:rsid w:val="00703A0B"/>
    <w:pPr>
      <w:spacing w:before="360" w:after="360"/>
    </w:pPr>
    <w:rPr>
      <w:rFonts w:eastAsia="SimSun"/>
    </w:rPr>
  </w:style>
  <w:style w:type="paragraph" w:customStyle="1" w:styleId="Default">
    <w:name w:val="Default"/>
    <w:rsid w:val="002F7BCF"/>
    <w:pPr>
      <w:autoSpaceDE w:val="0"/>
      <w:autoSpaceDN w:val="0"/>
      <w:adjustRightInd w:val="0"/>
    </w:pPr>
    <w:rPr>
      <w:rFonts w:ascii="Arial" w:eastAsia="Calibri" w:hAnsi="Arial" w:cs="Arial"/>
      <w:color w:val="000000"/>
      <w:sz w:val="24"/>
      <w:szCs w:val="24"/>
      <w:lang w:val="en-US" w:eastAsia="en-US"/>
    </w:rPr>
  </w:style>
  <w:style w:type="character" w:customStyle="1" w:styleId="Heading2Char">
    <w:name w:val="Heading 2 Char"/>
    <w:link w:val="Heading2"/>
    <w:rsid w:val="00DA63FC"/>
    <w:rPr>
      <w:rFonts w:ascii="Arial" w:hAnsi="Arial" w:cs="Arial"/>
      <w:b/>
      <w:bCs/>
      <w:i/>
      <w:iCs/>
      <w:sz w:val="28"/>
      <w:szCs w:val="28"/>
    </w:rPr>
  </w:style>
  <w:style w:type="paragraph" w:customStyle="1" w:styleId="MediumGrid1-Accent21">
    <w:name w:val="Medium Grid 1 - Accent 21"/>
    <w:basedOn w:val="Normal"/>
    <w:uiPriority w:val="34"/>
    <w:qFormat/>
    <w:rsid w:val="00DA63FC"/>
    <w:pPr>
      <w:ind w:left="720"/>
    </w:pPr>
    <w:rPr>
      <w:rFonts w:ascii="Times New Roman" w:hAnsi="Times New Roman"/>
      <w:sz w:val="24"/>
      <w:szCs w:val="24"/>
      <w:lang w:val="en-US"/>
    </w:rPr>
  </w:style>
  <w:style w:type="character" w:styleId="CommentReference">
    <w:name w:val="annotation reference"/>
    <w:uiPriority w:val="99"/>
    <w:rsid w:val="00DA63FC"/>
    <w:rPr>
      <w:sz w:val="16"/>
      <w:szCs w:val="16"/>
    </w:rPr>
  </w:style>
  <w:style w:type="paragraph" w:styleId="CommentText">
    <w:name w:val="annotation text"/>
    <w:basedOn w:val="Normal"/>
    <w:link w:val="CommentTextChar"/>
    <w:uiPriority w:val="99"/>
    <w:rsid w:val="00DA63FC"/>
    <w:rPr>
      <w:rFonts w:ascii="Times New Roman" w:hAnsi="Times New Roman"/>
      <w:lang w:val="en-US"/>
    </w:rPr>
  </w:style>
  <w:style w:type="character" w:customStyle="1" w:styleId="CommentTextChar">
    <w:name w:val="Comment Text Char"/>
    <w:basedOn w:val="DefaultParagraphFont"/>
    <w:link w:val="CommentText"/>
    <w:uiPriority w:val="99"/>
    <w:rsid w:val="00DA63FC"/>
  </w:style>
  <w:style w:type="table" w:styleId="TableGrid">
    <w:name w:val="Table Grid"/>
    <w:basedOn w:val="TableNormal"/>
    <w:rsid w:val="00DA6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F6B37"/>
    <w:rPr>
      <w:rFonts w:ascii="Arial" w:hAnsi="Arial"/>
      <w:b/>
      <w:bCs/>
    </w:rPr>
  </w:style>
  <w:style w:type="character" w:customStyle="1" w:styleId="CommentSubjectChar">
    <w:name w:val="Comment Subject Char"/>
    <w:link w:val="CommentSubject"/>
    <w:rsid w:val="009F6B37"/>
    <w:rPr>
      <w:rFonts w:ascii="Arial" w:hAnsi="Arial"/>
      <w:b/>
      <w:bCs/>
      <w:lang w:eastAsia="en-US"/>
    </w:rPr>
  </w:style>
  <w:style w:type="paragraph" w:customStyle="1" w:styleId="MediumList2-Accent21">
    <w:name w:val="Medium List 2 - Accent 21"/>
    <w:hidden/>
    <w:uiPriority w:val="99"/>
    <w:semiHidden/>
    <w:rsid w:val="009F6B37"/>
    <w:rPr>
      <w:rFonts w:ascii="Arial" w:hAnsi="Arial"/>
      <w:lang w:eastAsia="en-US"/>
    </w:rPr>
  </w:style>
  <w:style w:type="paragraph" w:styleId="NormalWeb">
    <w:name w:val="Normal (Web)"/>
    <w:basedOn w:val="Normal"/>
    <w:uiPriority w:val="99"/>
    <w:unhideWhenUsed/>
    <w:rsid w:val="00CF6FF5"/>
    <w:pPr>
      <w:spacing w:before="100" w:beforeAutospacing="1" w:after="100" w:afterAutospacing="1"/>
    </w:pPr>
    <w:rPr>
      <w:rFonts w:ascii="Times New Roman" w:hAnsi="Times New Roman"/>
      <w:sz w:val="24"/>
      <w:szCs w:val="24"/>
      <w:lang w:val="en-US"/>
    </w:rPr>
  </w:style>
  <w:style w:type="paragraph" w:styleId="PlainText">
    <w:name w:val="Plain Text"/>
    <w:basedOn w:val="Normal"/>
    <w:link w:val="PlainTextChar"/>
    <w:uiPriority w:val="99"/>
    <w:unhideWhenUsed/>
    <w:rsid w:val="00675330"/>
    <w:rPr>
      <w:sz w:val="24"/>
      <w:szCs w:val="21"/>
    </w:rPr>
  </w:style>
  <w:style w:type="character" w:customStyle="1" w:styleId="PlainTextChar">
    <w:name w:val="Plain Text Char"/>
    <w:link w:val="PlainText"/>
    <w:uiPriority w:val="99"/>
    <w:rsid w:val="00675330"/>
    <w:rPr>
      <w:rFonts w:ascii="Arial" w:hAnsi="Arial"/>
      <w:sz w:val="24"/>
      <w:szCs w:val="21"/>
      <w:lang w:eastAsia="en-US"/>
    </w:rPr>
  </w:style>
  <w:style w:type="paragraph" w:styleId="ListParagraph">
    <w:name w:val="List Paragraph"/>
    <w:basedOn w:val="Normal"/>
    <w:uiPriority w:val="34"/>
    <w:qFormat/>
    <w:rsid w:val="005D1BBD"/>
    <w:pPr>
      <w:spacing w:after="200" w:line="276" w:lineRule="auto"/>
      <w:ind w:left="720"/>
      <w:contextualSpacing/>
    </w:pPr>
    <w:rPr>
      <w:rFonts w:asciiTheme="minorHAnsi" w:eastAsiaTheme="minorHAnsi" w:hAnsiTheme="minorHAnsi" w:cstheme="minorBidi"/>
      <w:sz w:val="22"/>
      <w:szCs w:val="22"/>
      <w:lang w:val="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65"/>
    <w:rPr>
      <w:rFonts w:ascii="Arial" w:hAnsi="Arial"/>
      <w:lang w:eastAsia="en-US"/>
    </w:rPr>
  </w:style>
  <w:style w:type="paragraph" w:styleId="Heading1">
    <w:name w:val="heading 1"/>
    <w:basedOn w:val="Normal"/>
    <w:next w:val="Normal"/>
    <w:qFormat/>
    <w:rsid w:val="00FC7465"/>
    <w:pPr>
      <w:keepNext/>
      <w:outlineLvl w:val="0"/>
    </w:pPr>
    <w:rPr>
      <w:b/>
      <w:bCs/>
      <w:i/>
      <w:iCs/>
      <w:sz w:val="24"/>
      <w:szCs w:val="24"/>
    </w:rPr>
  </w:style>
  <w:style w:type="paragraph" w:styleId="Heading2">
    <w:name w:val="heading 2"/>
    <w:basedOn w:val="Normal"/>
    <w:next w:val="Normal"/>
    <w:link w:val="Heading2Char"/>
    <w:qFormat/>
    <w:rsid w:val="00DA63FC"/>
    <w:pPr>
      <w:keepNext/>
      <w:spacing w:before="240" w:after="60"/>
      <w:outlineLvl w:val="1"/>
    </w:pPr>
    <w:rPr>
      <w:b/>
      <w:bCs/>
      <w:i/>
      <w:iCs/>
      <w:sz w:val="28"/>
      <w:szCs w:val="28"/>
    </w:rPr>
  </w:style>
  <w:style w:type="paragraph" w:styleId="Heading3">
    <w:name w:val="heading 3"/>
    <w:basedOn w:val="Normal"/>
    <w:next w:val="Normal"/>
    <w:qFormat/>
    <w:rsid w:val="00FC74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F97"/>
    <w:pPr>
      <w:tabs>
        <w:tab w:val="center" w:pos="4320"/>
        <w:tab w:val="right" w:pos="8640"/>
      </w:tabs>
    </w:pPr>
  </w:style>
  <w:style w:type="paragraph" w:styleId="Footer">
    <w:name w:val="footer"/>
    <w:basedOn w:val="Normal"/>
    <w:rsid w:val="00930F97"/>
    <w:pPr>
      <w:tabs>
        <w:tab w:val="center" w:pos="4320"/>
        <w:tab w:val="right" w:pos="8640"/>
      </w:tabs>
    </w:pPr>
  </w:style>
  <w:style w:type="character" w:styleId="Hyperlink">
    <w:name w:val="Hyperlink"/>
    <w:rsid w:val="00FC7465"/>
    <w:rPr>
      <w:color w:val="0000FF"/>
      <w:u w:val="single"/>
    </w:rPr>
  </w:style>
  <w:style w:type="paragraph" w:styleId="ListBullet2">
    <w:name w:val="List Bullet 2"/>
    <w:basedOn w:val="Normal"/>
    <w:rsid w:val="00FC7465"/>
    <w:pPr>
      <w:numPr>
        <w:numId w:val="1"/>
      </w:numPr>
    </w:pPr>
  </w:style>
  <w:style w:type="paragraph" w:customStyle="1" w:styleId="NormalParagraphStyle">
    <w:name w:val="NormalParagraphStyle"/>
    <w:basedOn w:val="Normal"/>
    <w:rsid w:val="00911AF5"/>
    <w:pPr>
      <w:widowControl w:val="0"/>
      <w:autoSpaceDE w:val="0"/>
      <w:autoSpaceDN w:val="0"/>
      <w:adjustRightInd w:val="0"/>
      <w:spacing w:line="288" w:lineRule="auto"/>
      <w:textAlignment w:val="center"/>
    </w:pPr>
    <w:rPr>
      <w:rFonts w:ascii="Times-Roman" w:hAnsi="Times-Roman"/>
      <w:color w:val="000000"/>
      <w:sz w:val="24"/>
      <w:szCs w:val="24"/>
      <w:lang w:val="en-GB"/>
    </w:rPr>
  </w:style>
  <w:style w:type="character" w:customStyle="1" w:styleId="object">
    <w:name w:val="object"/>
    <w:basedOn w:val="DefaultParagraphFont"/>
    <w:rsid w:val="00F6095F"/>
  </w:style>
  <w:style w:type="paragraph" w:styleId="BalloonText">
    <w:name w:val="Balloon Text"/>
    <w:basedOn w:val="Normal"/>
    <w:semiHidden/>
    <w:rsid w:val="00BC4187"/>
    <w:rPr>
      <w:rFonts w:ascii="Tahoma" w:hAnsi="Tahoma" w:cs="Tahoma"/>
      <w:sz w:val="16"/>
      <w:szCs w:val="16"/>
    </w:rPr>
  </w:style>
  <w:style w:type="paragraph" w:customStyle="1" w:styleId="Checkboxes">
    <w:name w:val="Checkboxes"/>
    <w:basedOn w:val="Normal"/>
    <w:rsid w:val="00703A0B"/>
    <w:pPr>
      <w:spacing w:before="360" w:after="360"/>
    </w:pPr>
    <w:rPr>
      <w:rFonts w:eastAsia="SimSun"/>
    </w:rPr>
  </w:style>
  <w:style w:type="paragraph" w:customStyle="1" w:styleId="Default">
    <w:name w:val="Default"/>
    <w:rsid w:val="002F7BCF"/>
    <w:pPr>
      <w:autoSpaceDE w:val="0"/>
      <w:autoSpaceDN w:val="0"/>
      <w:adjustRightInd w:val="0"/>
    </w:pPr>
    <w:rPr>
      <w:rFonts w:ascii="Arial" w:eastAsia="Calibri" w:hAnsi="Arial" w:cs="Arial"/>
      <w:color w:val="000000"/>
      <w:sz w:val="24"/>
      <w:szCs w:val="24"/>
      <w:lang w:val="en-US" w:eastAsia="en-US"/>
    </w:rPr>
  </w:style>
  <w:style w:type="character" w:customStyle="1" w:styleId="Heading2Char">
    <w:name w:val="Heading 2 Char"/>
    <w:link w:val="Heading2"/>
    <w:rsid w:val="00DA63FC"/>
    <w:rPr>
      <w:rFonts w:ascii="Arial" w:hAnsi="Arial" w:cs="Arial"/>
      <w:b/>
      <w:bCs/>
      <w:i/>
      <w:iCs/>
      <w:sz w:val="28"/>
      <w:szCs w:val="28"/>
    </w:rPr>
  </w:style>
  <w:style w:type="paragraph" w:customStyle="1" w:styleId="MediumGrid1-Accent21">
    <w:name w:val="Medium Grid 1 - Accent 21"/>
    <w:basedOn w:val="Normal"/>
    <w:uiPriority w:val="34"/>
    <w:qFormat/>
    <w:rsid w:val="00DA63FC"/>
    <w:pPr>
      <w:ind w:left="720"/>
    </w:pPr>
    <w:rPr>
      <w:rFonts w:ascii="Times New Roman" w:hAnsi="Times New Roman"/>
      <w:sz w:val="24"/>
      <w:szCs w:val="24"/>
      <w:lang w:val="en-US"/>
    </w:rPr>
  </w:style>
  <w:style w:type="character" w:styleId="CommentReference">
    <w:name w:val="annotation reference"/>
    <w:uiPriority w:val="99"/>
    <w:rsid w:val="00DA63FC"/>
    <w:rPr>
      <w:sz w:val="16"/>
      <w:szCs w:val="16"/>
    </w:rPr>
  </w:style>
  <w:style w:type="paragraph" w:styleId="CommentText">
    <w:name w:val="annotation text"/>
    <w:basedOn w:val="Normal"/>
    <w:link w:val="CommentTextChar"/>
    <w:uiPriority w:val="99"/>
    <w:rsid w:val="00DA63FC"/>
    <w:rPr>
      <w:rFonts w:ascii="Times New Roman" w:hAnsi="Times New Roman"/>
      <w:lang w:val="en-US"/>
    </w:rPr>
  </w:style>
  <w:style w:type="character" w:customStyle="1" w:styleId="CommentTextChar">
    <w:name w:val="Comment Text Char"/>
    <w:basedOn w:val="DefaultParagraphFont"/>
    <w:link w:val="CommentText"/>
    <w:uiPriority w:val="99"/>
    <w:rsid w:val="00DA63FC"/>
  </w:style>
  <w:style w:type="table" w:styleId="TableGrid">
    <w:name w:val="Table Grid"/>
    <w:basedOn w:val="TableNormal"/>
    <w:rsid w:val="00DA6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F6B37"/>
    <w:rPr>
      <w:rFonts w:ascii="Arial" w:hAnsi="Arial"/>
      <w:b/>
      <w:bCs/>
    </w:rPr>
  </w:style>
  <w:style w:type="character" w:customStyle="1" w:styleId="CommentSubjectChar">
    <w:name w:val="Comment Subject Char"/>
    <w:link w:val="CommentSubject"/>
    <w:rsid w:val="009F6B37"/>
    <w:rPr>
      <w:rFonts w:ascii="Arial" w:hAnsi="Arial"/>
      <w:b/>
      <w:bCs/>
      <w:lang w:eastAsia="en-US"/>
    </w:rPr>
  </w:style>
  <w:style w:type="paragraph" w:customStyle="1" w:styleId="MediumList2-Accent21">
    <w:name w:val="Medium List 2 - Accent 21"/>
    <w:hidden/>
    <w:uiPriority w:val="99"/>
    <w:semiHidden/>
    <w:rsid w:val="009F6B37"/>
    <w:rPr>
      <w:rFonts w:ascii="Arial" w:hAnsi="Arial"/>
      <w:lang w:eastAsia="en-US"/>
    </w:rPr>
  </w:style>
  <w:style w:type="paragraph" w:styleId="NormalWeb">
    <w:name w:val="Normal (Web)"/>
    <w:basedOn w:val="Normal"/>
    <w:uiPriority w:val="99"/>
    <w:unhideWhenUsed/>
    <w:rsid w:val="00CF6FF5"/>
    <w:pPr>
      <w:spacing w:before="100" w:beforeAutospacing="1" w:after="100" w:afterAutospacing="1"/>
    </w:pPr>
    <w:rPr>
      <w:rFonts w:ascii="Times New Roman" w:hAnsi="Times New Roman"/>
      <w:sz w:val="24"/>
      <w:szCs w:val="24"/>
      <w:lang w:val="en-US"/>
    </w:rPr>
  </w:style>
  <w:style w:type="paragraph" w:styleId="PlainText">
    <w:name w:val="Plain Text"/>
    <w:basedOn w:val="Normal"/>
    <w:link w:val="PlainTextChar"/>
    <w:uiPriority w:val="99"/>
    <w:unhideWhenUsed/>
    <w:rsid w:val="00675330"/>
    <w:rPr>
      <w:sz w:val="24"/>
      <w:szCs w:val="21"/>
    </w:rPr>
  </w:style>
  <w:style w:type="character" w:customStyle="1" w:styleId="PlainTextChar">
    <w:name w:val="Plain Text Char"/>
    <w:link w:val="PlainText"/>
    <w:uiPriority w:val="99"/>
    <w:rsid w:val="00675330"/>
    <w:rPr>
      <w:rFonts w:ascii="Arial" w:hAnsi="Arial"/>
      <w:sz w:val="24"/>
      <w:szCs w:val="21"/>
      <w:lang w:eastAsia="en-US"/>
    </w:rPr>
  </w:style>
  <w:style w:type="paragraph" w:styleId="ListParagraph">
    <w:name w:val="List Paragraph"/>
    <w:basedOn w:val="Normal"/>
    <w:uiPriority w:val="34"/>
    <w:qFormat/>
    <w:rsid w:val="005D1BBD"/>
    <w:pPr>
      <w:spacing w:after="200" w:line="276" w:lineRule="auto"/>
      <w:ind w:left="720"/>
      <w:contextualSpacing/>
    </w:pPr>
    <w:rPr>
      <w:rFonts w:asciiTheme="minorHAnsi" w:eastAsiaTheme="minorHAnsi" w:hAnsiTheme="minorHAnsi" w:cstheme="minorBidi"/>
      <w:sz w:val="22"/>
      <w:szCs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3401">
      <w:bodyDiv w:val="1"/>
      <w:marLeft w:val="0"/>
      <w:marRight w:val="0"/>
      <w:marTop w:val="0"/>
      <w:marBottom w:val="0"/>
      <w:divBdr>
        <w:top w:val="none" w:sz="0" w:space="0" w:color="auto"/>
        <w:left w:val="none" w:sz="0" w:space="0" w:color="auto"/>
        <w:bottom w:val="none" w:sz="0" w:space="0" w:color="auto"/>
        <w:right w:val="none" w:sz="0" w:space="0" w:color="auto"/>
      </w:divBdr>
    </w:div>
    <w:div w:id="579288160">
      <w:bodyDiv w:val="1"/>
      <w:marLeft w:val="0"/>
      <w:marRight w:val="0"/>
      <w:marTop w:val="0"/>
      <w:marBottom w:val="0"/>
      <w:divBdr>
        <w:top w:val="none" w:sz="0" w:space="0" w:color="auto"/>
        <w:left w:val="none" w:sz="0" w:space="0" w:color="auto"/>
        <w:bottom w:val="none" w:sz="0" w:space="0" w:color="auto"/>
        <w:right w:val="none" w:sz="0" w:space="0" w:color="auto"/>
      </w:divBdr>
    </w:div>
    <w:div w:id="594943658">
      <w:bodyDiv w:val="1"/>
      <w:marLeft w:val="0"/>
      <w:marRight w:val="0"/>
      <w:marTop w:val="0"/>
      <w:marBottom w:val="0"/>
      <w:divBdr>
        <w:top w:val="none" w:sz="0" w:space="0" w:color="auto"/>
        <w:left w:val="none" w:sz="0" w:space="0" w:color="auto"/>
        <w:bottom w:val="none" w:sz="0" w:space="0" w:color="auto"/>
        <w:right w:val="none" w:sz="0" w:space="0" w:color="auto"/>
      </w:divBdr>
      <w:divsChild>
        <w:div w:id="1298410550">
          <w:marLeft w:val="0"/>
          <w:marRight w:val="0"/>
          <w:marTop w:val="0"/>
          <w:marBottom w:val="0"/>
          <w:divBdr>
            <w:top w:val="none" w:sz="0" w:space="0" w:color="auto"/>
            <w:left w:val="none" w:sz="0" w:space="0" w:color="auto"/>
            <w:bottom w:val="none" w:sz="0" w:space="0" w:color="auto"/>
            <w:right w:val="none" w:sz="0" w:space="0" w:color="auto"/>
          </w:divBdr>
          <w:divsChild>
            <w:div w:id="70390974">
              <w:marLeft w:val="0"/>
              <w:marRight w:val="0"/>
              <w:marTop w:val="0"/>
              <w:marBottom w:val="0"/>
              <w:divBdr>
                <w:top w:val="none" w:sz="0" w:space="0" w:color="auto"/>
                <w:left w:val="none" w:sz="0" w:space="0" w:color="auto"/>
                <w:bottom w:val="none" w:sz="0" w:space="0" w:color="auto"/>
                <w:right w:val="none" w:sz="0" w:space="0" w:color="auto"/>
              </w:divBdr>
              <w:divsChild>
                <w:div w:id="2093424709">
                  <w:marLeft w:val="0"/>
                  <w:marRight w:val="0"/>
                  <w:marTop w:val="0"/>
                  <w:marBottom w:val="0"/>
                  <w:divBdr>
                    <w:top w:val="none" w:sz="0" w:space="0" w:color="auto"/>
                    <w:left w:val="none" w:sz="0" w:space="0" w:color="auto"/>
                    <w:bottom w:val="none" w:sz="0" w:space="0" w:color="auto"/>
                    <w:right w:val="none" w:sz="0" w:space="0" w:color="auto"/>
                  </w:divBdr>
                  <w:divsChild>
                    <w:div w:id="1540126725">
                      <w:marLeft w:val="0"/>
                      <w:marRight w:val="0"/>
                      <w:marTop w:val="0"/>
                      <w:marBottom w:val="0"/>
                      <w:divBdr>
                        <w:top w:val="none" w:sz="0" w:space="0" w:color="auto"/>
                        <w:left w:val="none" w:sz="0" w:space="0" w:color="auto"/>
                        <w:bottom w:val="none" w:sz="0" w:space="0" w:color="auto"/>
                        <w:right w:val="none" w:sz="0" w:space="0" w:color="auto"/>
                      </w:divBdr>
                      <w:divsChild>
                        <w:div w:id="1475247615">
                          <w:marLeft w:val="0"/>
                          <w:marRight w:val="0"/>
                          <w:marTop w:val="0"/>
                          <w:marBottom w:val="0"/>
                          <w:divBdr>
                            <w:top w:val="none" w:sz="0" w:space="0" w:color="auto"/>
                            <w:left w:val="none" w:sz="0" w:space="0" w:color="auto"/>
                            <w:bottom w:val="none" w:sz="0" w:space="0" w:color="auto"/>
                            <w:right w:val="none" w:sz="0" w:space="0" w:color="auto"/>
                          </w:divBdr>
                          <w:divsChild>
                            <w:div w:id="743722225">
                              <w:marLeft w:val="0"/>
                              <w:marRight w:val="0"/>
                              <w:marTop w:val="0"/>
                              <w:marBottom w:val="0"/>
                              <w:divBdr>
                                <w:top w:val="none" w:sz="0" w:space="0" w:color="auto"/>
                                <w:left w:val="none" w:sz="0" w:space="0" w:color="auto"/>
                                <w:bottom w:val="none" w:sz="0" w:space="0" w:color="auto"/>
                                <w:right w:val="none" w:sz="0" w:space="0" w:color="auto"/>
                              </w:divBdr>
                              <w:divsChild>
                                <w:div w:id="368142141">
                                  <w:marLeft w:val="0"/>
                                  <w:marRight w:val="0"/>
                                  <w:marTop w:val="0"/>
                                  <w:marBottom w:val="0"/>
                                  <w:divBdr>
                                    <w:top w:val="none" w:sz="0" w:space="0" w:color="auto"/>
                                    <w:left w:val="none" w:sz="0" w:space="0" w:color="auto"/>
                                    <w:bottom w:val="none" w:sz="0" w:space="0" w:color="auto"/>
                                    <w:right w:val="none" w:sz="0" w:space="0" w:color="auto"/>
                                  </w:divBdr>
                                  <w:divsChild>
                                    <w:div w:id="1215196545">
                                      <w:marLeft w:val="0"/>
                                      <w:marRight w:val="0"/>
                                      <w:marTop w:val="0"/>
                                      <w:marBottom w:val="0"/>
                                      <w:divBdr>
                                        <w:top w:val="none" w:sz="0" w:space="0" w:color="auto"/>
                                        <w:left w:val="none" w:sz="0" w:space="0" w:color="auto"/>
                                        <w:bottom w:val="none" w:sz="0" w:space="0" w:color="auto"/>
                                        <w:right w:val="none" w:sz="0" w:space="0" w:color="auto"/>
                                      </w:divBdr>
                                      <w:divsChild>
                                        <w:div w:id="875777835">
                                          <w:marLeft w:val="0"/>
                                          <w:marRight w:val="0"/>
                                          <w:marTop w:val="0"/>
                                          <w:marBottom w:val="0"/>
                                          <w:divBdr>
                                            <w:top w:val="none" w:sz="0" w:space="0" w:color="auto"/>
                                            <w:left w:val="none" w:sz="0" w:space="0" w:color="auto"/>
                                            <w:bottom w:val="none" w:sz="0" w:space="0" w:color="auto"/>
                                            <w:right w:val="none" w:sz="0" w:space="0" w:color="auto"/>
                                          </w:divBdr>
                                          <w:divsChild>
                                            <w:div w:id="1381173457">
                                              <w:marLeft w:val="0"/>
                                              <w:marRight w:val="0"/>
                                              <w:marTop w:val="0"/>
                                              <w:marBottom w:val="0"/>
                                              <w:divBdr>
                                                <w:top w:val="none" w:sz="0" w:space="0" w:color="auto"/>
                                                <w:left w:val="none" w:sz="0" w:space="0" w:color="auto"/>
                                                <w:bottom w:val="none" w:sz="0" w:space="0" w:color="auto"/>
                                                <w:right w:val="none" w:sz="0" w:space="0" w:color="auto"/>
                                              </w:divBdr>
                                              <w:divsChild>
                                                <w:div w:id="98110727">
                                                  <w:marLeft w:val="0"/>
                                                  <w:marRight w:val="0"/>
                                                  <w:marTop w:val="0"/>
                                                  <w:marBottom w:val="0"/>
                                                  <w:divBdr>
                                                    <w:top w:val="none" w:sz="0" w:space="0" w:color="auto"/>
                                                    <w:left w:val="none" w:sz="0" w:space="0" w:color="auto"/>
                                                    <w:bottom w:val="none" w:sz="0" w:space="0" w:color="auto"/>
                                                    <w:right w:val="none" w:sz="0" w:space="0" w:color="auto"/>
                                                  </w:divBdr>
                                                </w:div>
                                                <w:div w:id="16340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188748">
      <w:bodyDiv w:val="1"/>
      <w:marLeft w:val="0"/>
      <w:marRight w:val="0"/>
      <w:marTop w:val="0"/>
      <w:marBottom w:val="0"/>
      <w:divBdr>
        <w:top w:val="none" w:sz="0" w:space="0" w:color="auto"/>
        <w:left w:val="none" w:sz="0" w:space="0" w:color="auto"/>
        <w:bottom w:val="none" w:sz="0" w:space="0" w:color="auto"/>
        <w:right w:val="none" w:sz="0" w:space="0" w:color="auto"/>
      </w:divBdr>
    </w:div>
    <w:div w:id="847912079">
      <w:bodyDiv w:val="1"/>
      <w:marLeft w:val="0"/>
      <w:marRight w:val="0"/>
      <w:marTop w:val="0"/>
      <w:marBottom w:val="0"/>
      <w:divBdr>
        <w:top w:val="none" w:sz="0" w:space="0" w:color="auto"/>
        <w:left w:val="none" w:sz="0" w:space="0" w:color="auto"/>
        <w:bottom w:val="none" w:sz="0" w:space="0" w:color="auto"/>
        <w:right w:val="none" w:sz="0" w:space="0" w:color="auto"/>
      </w:divBdr>
    </w:div>
    <w:div w:id="1037580724">
      <w:bodyDiv w:val="1"/>
      <w:marLeft w:val="0"/>
      <w:marRight w:val="0"/>
      <w:marTop w:val="0"/>
      <w:marBottom w:val="0"/>
      <w:divBdr>
        <w:top w:val="none" w:sz="0" w:space="0" w:color="auto"/>
        <w:left w:val="none" w:sz="0" w:space="0" w:color="auto"/>
        <w:bottom w:val="none" w:sz="0" w:space="0" w:color="auto"/>
        <w:right w:val="none" w:sz="0" w:space="0" w:color="auto"/>
      </w:divBdr>
    </w:div>
    <w:div w:id="1063409379">
      <w:bodyDiv w:val="1"/>
      <w:marLeft w:val="0"/>
      <w:marRight w:val="0"/>
      <w:marTop w:val="0"/>
      <w:marBottom w:val="0"/>
      <w:divBdr>
        <w:top w:val="none" w:sz="0" w:space="0" w:color="auto"/>
        <w:left w:val="none" w:sz="0" w:space="0" w:color="auto"/>
        <w:bottom w:val="none" w:sz="0" w:space="0" w:color="auto"/>
        <w:right w:val="none" w:sz="0" w:space="0" w:color="auto"/>
      </w:divBdr>
    </w:div>
    <w:div w:id="1180896597">
      <w:bodyDiv w:val="1"/>
      <w:marLeft w:val="0"/>
      <w:marRight w:val="0"/>
      <w:marTop w:val="0"/>
      <w:marBottom w:val="0"/>
      <w:divBdr>
        <w:top w:val="none" w:sz="0" w:space="0" w:color="auto"/>
        <w:left w:val="none" w:sz="0" w:space="0" w:color="auto"/>
        <w:bottom w:val="none" w:sz="0" w:space="0" w:color="auto"/>
        <w:right w:val="none" w:sz="0" w:space="0" w:color="auto"/>
      </w:divBdr>
    </w:div>
    <w:div w:id="1489520455">
      <w:bodyDiv w:val="1"/>
      <w:marLeft w:val="0"/>
      <w:marRight w:val="0"/>
      <w:marTop w:val="0"/>
      <w:marBottom w:val="0"/>
      <w:divBdr>
        <w:top w:val="none" w:sz="0" w:space="0" w:color="auto"/>
        <w:left w:val="none" w:sz="0" w:space="0" w:color="auto"/>
        <w:bottom w:val="none" w:sz="0" w:space="0" w:color="auto"/>
        <w:right w:val="none" w:sz="0" w:space="0" w:color="auto"/>
      </w:divBdr>
    </w:div>
    <w:div w:id="1769081576">
      <w:bodyDiv w:val="1"/>
      <w:marLeft w:val="0"/>
      <w:marRight w:val="0"/>
      <w:marTop w:val="0"/>
      <w:marBottom w:val="0"/>
      <w:divBdr>
        <w:top w:val="none" w:sz="0" w:space="0" w:color="auto"/>
        <w:left w:val="none" w:sz="0" w:space="0" w:color="auto"/>
        <w:bottom w:val="none" w:sz="0" w:space="0" w:color="auto"/>
        <w:right w:val="none" w:sz="0" w:space="0" w:color="auto"/>
      </w:divBdr>
    </w:div>
    <w:div w:id="2063402976">
      <w:bodyDiv w:val="1"/>
      <w:marLeft w:val="0"/>
      <w:marRight w:val="0"/>
      <w:marTop w:val="0"/>
      <w:marBottom w:val="0"/>
      <w:divBdr>
        <w:top w:val="none" w:sz="0" w:space="0" w:color="auto"/>
        <w:left w:val="none" w:sz="0" w:space="0" w:color="auto"/>
        <w:bottom w:val="none" w:sz="0" w:space="0" w:color="auto"/>
        <w:right w:val="none" w:sz="0" w:space="0" w:color="auto"/>
      </w:divBdr>
    </w:div>
    <w:div w:id="21416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hilip%20George\Work%20from%20home\Reference%20Material\Templates\ASX%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\Philip George\Work from home\Reference Material\Templates\ASX Template.dot</Template>
  <TotalTime>1</TotalTime>
  <Pages>2</Pages>
  <Words>277</Words>
  <Characters>1581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ASX Code: AEF</vt:lpstr>
    </vt:vector>
  </TitlesOfParts>
  <Company>Australian Ethical Investment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Code: AEF</dc:title>
  <dc:creator>David Paton</dc:creator>
  <cp:lastModifiedBy>Glenn Freeman</cp:lastModifiedBy>
  <cp:revision>2</cp:revision>
  <cp:lastPrinted>2014-10-23T06:11:00Z</cp:lastPrinted>
  <dcterms:created xsi:type="dcterms:W3CDTF">2014-10-25T23:42:00Z</dcterms:created>
  <dcterms:modified xsi:type="dcterms:W3CDTF">2014-10-25T23:42:00Z</dcterms:modified>
</cp:coreProperties>
</file>