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2B75" w:rsidRPr="00721B54" w:rsidRDefault="007C705B" w:rsidP="002840E5">
      <w:pPr>
        <w:autoSpaceDE w:val="0"/>
        <w:autoSpaceDN w:val="0"/>
        <w:adjustRightInd w:val="0"/>
        <w:jc w:val="both"/>
        <w:rPr>
          <w:rFonts w:ascii="Calibri" w:hAnsi="Calibri" w:cs="Calibri,Bold"/>
          <w:b/>
          <w:bCs/>
          <w:sz w:val="22"/>
          <w:szCs w:val="22"/>
          <w:lang w:val="en-AU" w:eastAsia="zh-TW"/>
        </w:rPr>
      </w:pPr>
      <w:r w:rsidRPr="007C705B">
        <w:rPr>
          <w:rFonts w:ascii="Calibri" w:hAnsi="Calibri" w:cs="Calibri,Bold"/>
          <w:bCs/>
          <w:sz w:val="18"/>
          <w:szCs w:val="18"/>
          <w:lang w:val="en-AU" w:eastAsia="zh-TW"/>
        </w:rPr>
        <w:t>025</w:t>
      </w:r>
      <w:r>
        <w:rPr>
          <w:rFonts w:ascii="Calibri" w:hAnsi="Calibri" w:cs="Calibri,Bold"/>
          <w:b/>
          <w:bCs/>
          <w:sz w:val="22"/>
          <w:szCs w:val="22"/>
          <w:lang w:val="en-AU" w:eastAsia="zh-TW"/>
        </w:rPr>
        <w:t xml:space="preserve">    </w:t>
      </w:r>
      <w:r w:rsidR="00F804B1">
        <w:rPr>
          <w:rFonts w:ascii="Calibri" w:hAnsi="Calibri" w:cs="Calibri,Bold"/>
          <w:b/>
          <w:bCs/>
          <w:sz w:val="22"/>
          <w:szCs w:val="22"/>
          <w:lang w:val="en-AU" w:eastAsia="zh-TW"/>
        </w:rPr>
        <w:t>ASX Release:</w:t>
      </w:r>
      <w:r w:rsidR="00F804B1">
        <w:rPr>
          <w:rFonts w:ascii="Calibri" w:hAnsi="Calibri" w:cs="Calibri,Bold"/>
          <w:b/>
          <w:bCs/>
          <w:sz w:val="22"/>
          <w:szCs w:val="22"/>
          <w:lang w:val="en-AU" w:eastAsia="zh-TW"/>
        </w:rPr>
        <w:tab/>
        <w:t>15</w:t>
      </w:r>
      <w:r w:rsidR="00721B54" w:rsidRPr="00721B54">
        <w:rPr>
          <w:rFonts w:ascii="Calibri" w:hAnsi="Calibri" w:cs="Calibri,Bold"/>
          <w:b/>
          <w:bCs/>
          <w:sz w:val="22"/>
          <w:szCs w:val="22"/>
          <w:vertAlign w:val="superscript"/>
          <w:lang w:val="en-AU" w:eastAsia="zh-TW"/>
        </w:rPr>
        <w:t>th</w:t>
      </w:r>
      <w:r w:rsidR="00721B54" w:rsidRPr="00721B54">
        <w:rPr>
          <w:rFonts w:ascii="Calibri" w:hAnsi="Calibri" w:cs="Calibri,Bold"/>
          <w:b/>
          <w:bCs/>
          <w:sz w:val="22"/>
          <w:szCs w:val="22"/>
          <w:lang w:val="en-AU" w:eastAsia="zh-TW"/>
        </w:rPr>
        <w:t xml:space="preserve"> October 2014</w:t>
      </w:r>
    </w:p>
    <w:p w:rsidR="00721B54" w:rsidRPr="008B790F" w:rsidRDefault="00721B54" w:rsidP="002840E5">
      <w:pPr>
        <w:autoSpaceDE w:val="0"/>
        <w:autoSpaceDN w:val="0"/>
        <w:adjustRightInd w:val="0"/>
        <w:jc w:val="both"/>
        <w:rPr>
          <w:rFonts w:ascii="Calibri" w:hAnsi="Calibri" w:cs="Calibri,Bold"/>
          <w:bCs/>
          <w:sz w:val="22"/>
          <w:szCs w:val="22"/>
          <w:lang w:val="en-AU" w:eastAsia="zh-TW"/>
        </w:rPr>
      </w:pPr>
    </w:p>
    <w:p w:rsidR="00F30A48" w:rsidRPr="008B790F" w:rsidRDefault="00721B54" w:rsidP="002840E5">
      <w:pPr>
        <w:autoSpaceDE w:val="0"/>
        <w:autoSpaceDN w:val="0"/>
        <w:adjustRightInd w:val="0"/>
        <w:jc w:val="center"/>
        <w:rPr>
          <w:rFonts w:ascii="Calibri" w:hAnsi="Calibri" w:cs="Calibri,Bold"/>
          <w:b/>
          <w:bCs/>
          <w:sz w:val="32"/>
          <w:szCs w:val="22"/>
          <w:lang w:val="en-AU" w:eastAsia="zh-TW"/>
        </w:rPr>
      </w:pPr>
      <w:r>
        <w:rPr>
          <w:rFonts w:ascii="Calibri" w:hAnsi="Calibri" w:cs="Calibri,Bold"/>
          <w:b/>
          <w:bCs/>
          <w:sz w:val="32"/>
          <w:szCs w:val="22"/>
          <w:lang w:val="en-AU" w:eastAsia="zh-TW"/>
        </w:rPr>
        <w:t>SEPTEMBER</w:t>
      </w:r>
      <w:r w:rsidR="007E6D5B" w:rsidRPr="008B790F">
        <w:rPr>
          <w:rFonts w:ascii="Calibri" w:hAnsi="Calibri" w:cs="Calibri,Bold"/>
          <w:b/>
          <w:bCs/>
          <w:sz w:val="32"/>
          <w:szCs w:val="22"/>
          <w:lang w:val="en-AU" w:eastAsia="zh-TW"/>
        </w:rPr>
        <w:t xml:space="preserve"> </w:t>
      </w:r>
      <w:r w:rsidR="00F30A48" w:rsidRPr="008B790F">
        <w:rPr>
          <w:rFonts w:ascii="Calibri" w:hAnsi="Calibri" w:cs="Calibri,Bold"/>
          <w:b/>
          <w:bCs/>
          <w:sz w:val="32"/>
          <w:szCs w:val="22"/>
          <w:lang w:val="en-AU" w:eastAsia="zh-TW"/>
        </w:rPr>
        <w:t>QUARTER UPDATE</w:t>
      </w:r>
    </w:p>
    <w:p w:rsidR="007E6D5B" w:rsidRPr="008B790F" w:rsidRDefault="00886ED0" w:rsidP="00C92B75">
      <w:pPr>
        <w:autoSpaceDE w:val="0"/>
        <w:autoSpaceDN w:val="0"/>
        <w:adjustRightInd w:val="0"/>
        <w:jc w:val="both"/>
        <w:rPr>
          <w:rFonts w:ascii="Calibri" w:hAnsi="Calibri" w:cs="Calibri,Bold"/>
          <w:b/>
          <w:bCs/>
          <w:sz w:val="22"/>
          <w:szCs w:val="22"/>
          <w:u w:val="single"/>
          <w:lang w:val="en-AU" w:eastAsia="zh-TW"/>
        </w:rPr>
      </w:pPr>
      <w:r w:rsidRPr="008B790F">
        <w:rPr>
          <w:rFonts w:ascii="Calibri" w:hAnsi="Calibri" w:cs="Calibri,Bold"/>
          <w:b/>
          <w:bCs/>
          <w:sz w:val="22"/>
          <w:szCs w:val="22"/>
          <w:u w:val="single"/>
          <w:lang w:val="en-AU" w:eastAsia="zh-TW"/>
        </w:rPr>
        <w:t>Highlights</w:t>
      </w:r>
    </w:p>
    <w:p w:rsidR="007E6D5B" w:rsidRPr="005F2B37" w:rsidRDefault="007E6D5B" w:rsidP="00C92B75">
      <w:pPr>
        <w:autoSpaceDE w:val="0"/>
        <w:autoSpaceDN w:val="0"/>
        <w:adjustRightInd w:val="0"/>
        <w:jc w:val="both"/>
        <w:rPr>
          <w:rFonts w:ascii="Calibri" w:hAnsi="Calibri" w:cs="Calibri,Bold"/>
          <w:bCs/>
          <w:sz w:val="14"/>
          <w:szCs w:val="22"/>
          <w:lang w:val="en-AU" w:eastAsia="zh-TW"/>
        </w:rPr>
      </w:pPr>
    </w:p>
    <w:p w:rsidR="007E6D5B" w:rsidRPr="008B790F" w:rsidRDefault="004138F7" w:rsidP="00BD019A">
      <w:pPr>
        <w:pStyle w:val="ColorfulList-Accent1"/>
        <w:numPr>
          <w:ilvl w:val="0"/>
          <w:numId w:val="3"/>
        </w:numPr>
        <w:autoSpaceDE w:val="0"/>
        <w:autoSpaceDN w:val="0"/>
        <w:adjustRightInd w:val="0"/>
        <w:jc w:val="both"/>
        <w:rPr>
          <w:rFonts w:ascii="Calibri" w:hAnsi="Calibri" w:cs="Calibri,Bold"/>
          <w:bCs/>
          <w:sz w:val="22"/>
          <w:szCs w:val="22"/>
          <w:lang w:eastAsia="zh-TW"/>
        </w:rPr>
      </w:pPr>
      <w:r>
        <w:rPr>
          <w:rFonts w:ascii="Calibri" w:hAnsi="Calibri" w:cs="Calibri,Bold"/>
          <w:bCs/>
          <w:sz w:val="22"/>
          <w:szCs w:val="22"/>
          <w:lang w:eastAsia="zh-TW"/>
        </w:rPr>
        <w:t>Record</w:t>
      </w:r>
      <w:r w:rsidR="007E6D5B" w:rsidRPr="008B790F">
        <w:rPr>
          <w:rFonts w:ascii="Calibri" w:hAnsi="Calibri" w:cs="Calibri,Bold"/>
          <w:bCs/>
          <w:sz w:val="22"/>
          <w:szCs w:val="22"/>
          <w:lang w:eastAsia="zh-TW"/>
        </w:rPr>
        <w:t xml:space="preserve"> </w:t>
      </w:r>
      <w:r w:rsidR="00956BFA">
        <w:rPr>
          <w:rFonts w:ascii="Calibri" w:hAnsi="Calibri" w:cs="Calibri,Bold"/>
          <w:bCs/>
          <w:sz w:val="22"/>
          <w:szCs w:val="22"/>
          <w:lang w:eastAsia="zh-TW"/>
        </w:rPr>
        <w:t>N</w:t>
      </w:r>
      <w:r w:rsidR="007E6D5B" w:rsidRPr="008B790F">
        <w:rPr>
          <w:rFonts w:ascii="Calibri" w:hAnsi="Calibri" w:cs="Calibri,Bold"/>
          <w:bCs/>
          <w:sz w:val="22"/>
          <w:szCs w:val="22"/>
          <w:lang w:eastAsia="zh-TW"/>
        </w:rPr>
        <w:t>et</w:t>
      </w:r>
      <w:r w:rsidR="00956BFA">
        <w:rPr>
          <w:rFonts w:ascii="Calibri" w:hAnsi="Calibri" w:cs="Calibri,Bold"/>
          <w:bCs/>
          <w:sz w:val="22"/>
          <w:szCs w:val="22"/>
          <w:lang w:eastAsia="zh-TW"/>
        </w:rPr>
        <w:t xml:space="preserve"> I</w:t>
      </w:r>
      <w:r w:rsidR="007E6D5B" w:rsidRPr="008B790F">
        <w:rPr>
          <w:rFonts w:ascii="Calibri" w:hAnsi="Calibri" w:cs="Calibri,Bold"/>
          <w:bCs/>
          <w:sz w:val="22"/>
          <w:szCs w:val="22"/>
          <w:lang w:eastAsia="zh-TW"/>
        </w:rPr>
        <w:t>nflows</w:t>
      </w:r>
      <w:r w:rsidR="00956BFA">
        <w:rPr>
          <w:rStyle w:val="FootnoteReference"/>
          <w:rFonts w:ascii="Calibri" w:hAnsi="Calibri" w:cs="Calibri,Bold"/>
          <w:bCs/>
          <w:sz w:val="22"/>
          <w:szCs w:val="22"/>
          <w:lang w:eastAsia="zh-TW"/>
        </w:rPr>
        <w:footnoteReference w:id="1"/>
      </w:r>
      <w:r w:rsidR="007E6D5B" w:rsidRPr="008B790F">
        <w:rPr>
          <w:rFonts w:ascii="Calibri" w:hAnsi="Calibri" w:cs="Calibri,Bold"/>
          <w:bCs/>
          <w:sz w:val="22"/>
          <w:szCs w:val="22"/>
          <w:lang w:eastAsia="zh-TW"/>
        </w:rPr>
        <w:t xml:space="preserve"> in </w:t>
      </w:r>
      <w:r w:rsidR="00D64096" w:rsidRPr="008B790F">
        <w:rPr>
          <w:rFonts w:ascii="Calibri" w:hAnsi="Calibri" w:cs="Calibri,Bold"/>
          <w:bCs/>
          <w:sz w:val="22"/>
          <w:szCs w:val="22"/>
          <w:lang w:eastAsia="zh-TW"/>
        </w:rPr>
        <w:t xml:space="preserve">the </w:t>
      </w:r>
      <w:r w:rsidR="00013499">
        <w:rPr>
          <w:rFonts w:ascii="Calibri" w:hAnsi="Calibri" w:cs="Calibri,Bold"/>
          <w:bCs/>
          <w:sz w:val="22"/>
          <w:szCs w:val="22"/>
          <w:lang w:eastAsia="zh-TW"/>
        </w:rPr>
        <w:t>September</w:t>
      </w:r>
      <w:r w:rsidR="007E6D5B" w:rsidRPr="008B790F">
        <w:rPr>
          <w:rFonts w:ascii="Calibri" w:hAnsi="Calibri" w:cs="Calibri,Bold"/>
          <w:bCs/>
          <w:sz w:val="22"/>
          <w:szCs w:val="22"/>
          <w:lang w:eastAsia="zh-TW"/>
        </w:rPr>
        <w:t xml:space="preserve"> quarter of </w:t>
      </w:r>
      <w:r w:rsidR="00886ED0" w:rsidRPr="008B790F">
        <w:rPr>
          <w:rFonts w:ascii="Calibri" w:hAnsi="Calibri" w:cs="Calibri,Bold"/>
          <w:bCs/>
          <w:sz w:val="22"/>
          <w:szCs w:val="22"/>
          <w:lang w:eastAsia="zh-TW"/>
        </w:rPr>
        <w:t>$</w:t>
      </w:r>
      <w:r w:rsidR="00E17363">
        <w:rPr>
          <w:rFonts w:ascii="Calibri" w:hAnsi="Calibri" w:cs="Calibri,Bold"/>
          <w:bCs/>
          <w:sz w:val="22"/>
          <w:szCs w:val="22"/>
          <w:lang w:eastAsia="zh-TW"/>
        </w:rPr>
        <w:t>171</w:t>
      </w:r>
      <w:r w:rsidR="007E6D5B" w:rsidRPr="0093372E">
        <w:rPr>
          <w:rFonts w:ascii="Calibri" w:hAnsi="Calibri" w:cs="Calibri,Bold"/>
          <w:bCs/>
          <w:sz w:val="22"/>
          <w:szCs w:val="22"/>
          <w:lang w:eastAsia="zh-TW"/>
        </w:rPr>
        <w:t>m</w:t>
      </w:r>
      <w:r>
        <w:rPr>
          <w:rFonts w:ascii="Calibri" w:hAnsi="Calibri" w:cs="Calibri,Bold"/>
          <w:bCs/>
          <w:sz w:val="22"/>
          <w:szCs w:val="22"/>
          <w:lang w:eastAsia="zh-TW"/>
        </w:rPr>
        <w:t xml:space="preserve"> and record Gross</w:t>
      </w:r>
      <w:r w:rsidR="00E17363">
        <w:rPr>
          <w:rFonts w:ascii="Calibri" w:hAnsi="Calibri" w:cs="Calibri,Bold"/>
          <w:bCs/>
          <w:sz w:val="22"/>
          <w:szCs w:val="22"/>
          <w:lang w:eastAsia="zh-TW"/>
        </w:rPr>
        <w:t xml:space="preserve"> inflows of $199.4</w:t>
      </w:r>
      <w:r>
        <w:rPr>
          <w:rFonts w:ascii="Calibri" w:hAnsi="Calibri" w:cs="Calibri,Bold"/>
          <w:bCs/>
          <w:sz w:val="22"/>
          <w:szCs w:val="22"/>
          <w:lang w:eastAsia="zh-TW"/>
        </w:rPr>
        <w:t>m;</w:t>
      </w:r>
    </w:p>
    <w:p w:rsidR="00956BFA" w:rsidRPr="00D040C0" w:rsidRDefault="004F64F1" w:rsidP="00BD019A">
      <w:pPr>
        <w:pStyle w:val="ColorfulList-Accent1"/>
        <w:numPr>
          <w:ilvl w:val="0"/>
          <w:numId w:val="3"/>
        </w:numPr>
        <w:autoSpaceDE w:val="0"/>
        <w:autoSpaceDN w:val="0"/>
        <w:adjustRightInd w:val="0"/>
        <w:jc w:val="both"/>
        <w:rPr>
          <w:rFonts w:ascii="Calibri" w:hAnsi="Calibri" w:cs="Calibri,Bold"/>
          <w:bCs/>
          <w:sz w:val="22"/>
          <w:szCs w:val="22"/>
          <w:lang w:eastAsia="zh-TW"/>
        </w:rPr>
      </w:pPr>
      <w:r>
        <w:rPr>
          <w:rFonts w:ascii="Calibri" w:hAnsi="Calibri" w:cs="Calibri,Bold"/>
          <w:bCs/>
          <w:sz w:val="22"/>
          <w:szCs w:val="22"/>
          <w:lang w:eastAsia="zh-TW"/>
        </w:rPr>
        <w:t>Funds Under Administration (“</w:t>
      </w:r>
      <w:r w:rsidR="004A0438" w:rsidRPr="008B790F">
        <w:rPr>
          <w:rFonts w:ascii="Calibri" w:hAnsi="Calibri" w:cs="Calibri,Bold"/>
          <w:bCs/>
          <w:sz w:val="22"/>
          <w:szCs w:val="22"/>
          <w:lang w:eastAsia="zh-TW"/>
        </w:rPr>
        <w:t>FUA</w:t>
      </w:r>
      <w:r>
        <w:rPr>
          <w:rFonts w:ascii="Calibri" w:hAnsi="Calibri" w:cs="Calibri,Bold"/>
          <w:bCs/>
          <w:sz w:val="22"/>
          <w:szCs w:val="22"/>
          <w:lang w:eastAsia="zh-TW"/>
        </w:rPr>
        <w:t>”)</w:t>
      </w:r>
      <w:r w:rsidR="004A0438" w:rsidRPr="008B790F">
        <w:rPr>
          <w:rFonts w:ascii="Calibri" w:hAnsi="Calibri" w:cs="Calibri,Bold"/>
          <w:bCs/>
          <w:sz w:val="22"/>
          <w:szCs w:val="22"/>
          <w:lang w:eastAsia="zh-TW"/>
        </w:rPr>
        <w:t xml:space="preserve"> </w:t>
      </w:r>
      <w:r w:rsidR="0027189B">
        <w:rPr>
          <w:rFonts w:ascii="Calibri" w:hAnsi="Calibri" w:cs="Calibri,Bold"/>
          <w:bCs/>
          <w:sz w:val="22"/>
          <w:szCs w:val="22"/>
          <w:lang w:eastAsia="zh-TW"/>
        </w:rPr>
        <w:t>increase</w:t>
      </w:r>
      <w:r w:rsidR="004A0438" w:rsidRPr="00896F54">
        <w:rPr>
          <w:rFonts w:ascii="Calibri" w:hAnsi="Calibri" w:cs="Calibri,Bold"/>
          <w:bCs/>
          <w:sz w:val="22"/>
          <w:szCs w:val="22"/>
          <w:lang w:eastAsia="zh-TW"/>
        </w:rPr>
        <w:t xml:space="preserve"> of </w:t>
      </w:r>
      <w:r w:rsidR="004138F7">
        <w:rPr>
          <w:rFonts w:ascii="Calibri" w:hAnsi="Calibri" w:cs="Calibri,Bold"/>
          <w:bCs/>
          <w:sz w:val="22"/>
          <w:szCs w:val="22"/>
          <w:lang w:eastAsia="zh-TW"/>
        </w:rPr>
        <w:t>20.7</w:t>
      </w:r>
      <w:r w:rsidR="004A0438" w:rsidRPr="00896F54">
        <w:rPr>
          <w:rFonts w:ascii="Calibri" w:hAnsi="Calibri" w:cs="Calibri,Bold"/>
          <w:bCs/>
          <w:sz w:val="22"/>
          <w:szCs w:val="22"/>
          <w:lang w:eastAsia="zh-TW"/>
        </w:rPr>
        <w:t xml:space="preserve">% </w:t>
      </w:r>
      <w:r w:rsidR="00956BFA" w:rsidRPr="00896F54">
        <w:rPr>
          <w:rFonts w:ascii="Calibri" w:hAnsi="Calibri" w:cs="Calibri,Bold"/>
          <w:bCs/>
          <w:sz w:val="22"/>
          <w:szCs w:val="22"/>
          <w:lang w:eastAsia="zh-TW"/>
        </w:rPr>
        <w:t xml:space="preserve">from </w:t>
      </w:r>
      <w:r w:rsidR="00013499">
        <w:rPr>
          <w:rFonts w:ascii="Calibri" w:hAnsi="Calibri" w:cs="Calibri,Bold"/>
          <w:bCs/>
          <w:sz w:val="22"/>
          <w:szCs w:val="22"/>
          <w:lang w:eastAsia="zh-TW"/>
        </w:rPr>
        <w:t>$853.8</w:t>
      </w:r>
      <w:r w:rsidR="00956BFA" w:rsidRPr="00D040C0">
        <w:rPr>
          <w:rFonts w:ascii="Calibri" w:hAnsi="Calibri" w:cs="Calibri,Bold"/>
          <w:bCs/>
          <w:sz w:val="22"/>
          <w:szCs w:val="22"/>
          <w:lang w:eastAsia="zh-TW"/>
        </w:rPr>
        <w:t>m</w:t>
      </w:r>
      <w:r w:rsidR="00956BFA" w:rsidRPr="00896F54">
        <w:rPr>
          <w:rFonts w:ascii="Calibri" w:hAnsi="Calibri" w:cs="Calibri,Bold"/>
          <w:bCs/>
          <w:sz w:val="22"/>
          <w:szCs w:val="22"/>
          <w:lang w:eastAsia="zh-TW"/>
        </w:rPr>
        <w:t xml:space="preserve"> at</w:t>
      </w:r>
      <w:r w:rsidR="00D040C0">
        <w:rPr>
          <w:rFonts w:ascii="Calibri" w:hAnsi="Calibri" w:cs="Calibri,Bold"/>
          <w:bCs/>
          <w:sz w:val="22"/>
          <w:szCs w:val="22"/>
          <w:lang w:eastAsia="zh-TW"/>
        </w:rPr>
        <w:t xml:space="preserve"> 30</w:t>
      </w:r>
      <w:r w:rsidR="00956BFA" w:rsidRPr="00896F54">
        <w:rPr>
          <w:rFonts w:ascii="Calibri" w:hAnsi="Calibri" w:cs="Calibri,Bold"/>
          <w:bCs/>
          <w:sz w:val="22"/>
          <w:szCs w:val="22"/>
          <w:lang w:eastAsia="zh-TW"/>
        </w:rPr>
        <w:t xml:space="preserve"> </w:t>
      </w:r>
      <w:r w:rsidR="0093372E">
        <w:rPr>
          <w:rFonts w:ascii="Calibri" w:hAnsi="Calibri" w:cs="Calibri,Bold"/>
          <w:bCs/>
          <w:sz w:val="22"/>
          <w:szCs w:val="22"/>
          <w:lang w:eastAsia="zh-TW"/>
        </w:rPr>
        <w:t>June 201</w:t>
      </w:r>
      <w:r w:rsidR="00013499">
        <w:rPr>
          <w:rFonts w:ascii="Calibri" w:hAnsi="Calibri" w:cs="Calibri,Bold"/>
          <w:bCs/>
          <w:sz w:val="22"/>
          <w:szCs w:val="22"/>
          <w:lang w:eastAsia="zh-TW"/>
        </w:rPr>
        <w:t>4 to $1,030.8</w:t>
      </w:r>
      <w:r w:rsidR="00D040C0">
        <w:rPr>
          <w:rFonts w:ascii="Calibri" w:hAnsi="Calibri" w:cs="Calibri,Bold"/>
          <w:bCs/>
          <w:sz w:val="22"/>
          <w:szCs w:val="22"/>
          <w:lang w:eastAsia="zh-TW"/>
        </w:rPr>
        <w:t>m at 30</w:t>
      </w:r>
      <w:r w:rsidR="00956BFA" w:rsidRPr="00896F54">
        <w:rPr>
          <w:rFonts w:ascii="Calibri" w:hAnsi="Calibri" w:cs="Calibri,Bold"/>
          <w:bCs/>
          <w:sz w:val="22"/>
          <w:szCs w:val="22"/>
          <w:lang w:eastAsia="zh-TW"/>
        </w:rPr>
        <w:t xml:space="preserve"> </w:t>
      </w:r>
      <w:r w:rsidR="00013499">
        <w:rPr>
          <w:rFonts w:ascii="Calibri" w:hAnsi="Calibri" w:cs="Calibri,Bold"/>
          <w:bCs/>
          <w:sz w:val="22"/>
          <w:szCs w:val="22"/>
          <w:lang w:eastAsia="zh-TW"/>
        </w:rPr>
        <w:t>September</w:t>
      </w:r>
      <w:r w:rsidR="00956BFA" w:rsidRPr="00896F54">
        <w:rPr>
          <w:rFonts w:ascii="Calibri" w:hAnsi="Calibri" w:cs="Calibri,Bold"/>
          <w:bCs/>
          <w:sz w:val="22"/>
          <w:szCs w:val="22"/>
          <w:lang w:eastAsia="zh-TW"/>
        </w:rPr>
        <w:t xml:space="preserve"> 2014</w:t>
      </w:r>
      <w:r w:rsidR="004138F7">
        <w:rPr>
          <w:rFonts w:ascii="Calibri" w:hAnsi="Calibri" w:cs="Calibri,Bold"/>
          <w:bCs/>
          <w:sz w:val="22"/>
          <w:szCs w:val="22"/>
          <w:lang w:eastAsia="zh-TW"/>
        </w:rPr>
        <w:t>;</w:t>
      </w:r>
    </w:p>
    <w:p w:rsidR="00E17363" w:rsidRPr="00E17363" w:rsidRDefault="005B54E3" w:rsidP="004138F7">
      <w:pPr>
        <w:pStyle w:val="ColorfulList-Accent1"/>
        <w:numPr>
          <w:ilvl w:val="0"/>
          <w:numId w:val="3"/>
        </w:numPr>
        <w:autoSpaceDE w:val="0"/>
        <w:autoSpaceDN w:val="0"/>
        <w:adjustRightInd w:val="0"/>
        <w:jc w:val="both"/>
        <w:rPr>
          <w:rFonts w:ascii="Calibri" w:hAnsi="Calibri" w:cs="Calibri,Bold"/>
          <w:bCs/>
          <w:sz w:val="16"/>
          <w:szCs w:val="22"/>
          <w:lang w:eastAsia="zh-TW"/>
        </w:rPr>
      </w:pPr>
      <w:r>
        <w:rPr>
          <w:rFonts w:ascii="Calibri" w:hAnsi="Calibri" w:cs="Calibri,Bold"/>
          <w:bCs/>
          <w:sz w:val="22"/>
          <w:szCs w:val="22"/>
          <w:lang w:eastAsia="zh-TW"/>
        </w:rPr>
        <w:t xml:space="preserve">38 new advisers and 3 new </w:t>
      </w:r>
      <w:r w:rsidR="00556DC8">
        <w:rPr>
          <w:rFonts w:ascii="Calibri" w:hAnsi="Calibri" w:cs="Calibri,Bold"/>
          <w:bCs/>
          <w:sz w:val="22"/>
          <w:szCs w:val="22"/>
          <w:lang w:eastAsia="zh-TW"/>
        </w:rPr>
        <w:t>licensees (</w:t>
      </w:r>
      <w:r>
        <w:rPr>
          <w:rFonts w:ascii="Calibri" w:hAnsi="Calibri" w:cs="Calibri,Bold"/>
          <w:bCs/>
          <w:sz w:val="22"/>
          <w:szCs w:val="22"/>
          <w:lang w:eastAsia="zh-TW"/>
        </w:rPr>
        <w:t>dealer groups</w:t>
      </w:r>
      <w:r w:rsidR="00556DC8">
        <w:rPr>
          <w:rFonts w:ascii="Calibri" w:hAnsi="Calibri" w:cs="Calibri,Bold"/>
          <w:bCs/>
          <w:sz w:val="22"/>
          <w:szCs w:val="22"/>
          <w:lang w:eastAsia="zh-TW"/>
        </w:rPr>
        <w:t>)</w:t>
      </w:r>
      <w:r>
        <w:rPr>
          <w:rFonts w:ascii="Calibri" w:hAnsi="Calibri" w:cs="Calibri,Bold"/>
          <w:bCs/>
          <w:sz w:val="22"/>
          <w:szCs w:val="22"/>
          <w:lang w:eastAsia="zh-TW"/>
        </w:rPr>
        <w:t xml:space="preserve"> using HUB24 during the quarter</w:t>
      </w:r>
      <w:r w:rsidR="00E17363">
        <w:rPr>
          <w:rFonts w:ascii="Calibri" w:hAnsi="Calibri" w:cs="Calibri,Bold"/>
          <w:bCs/>
          <w:sz w:val="22"/>
          <w:szCs w:val="22"/>
          <w:lang w:eastAsia="zh-TW"/>
        </w:rPr>
        <w:t>;</w:t>
      </w:r>
    </w:p>
    <w:p w:rsidR="00E17363" w:rsidRPr="00E17363" w:rsidRDefault="00E17363" w:rsidP="004138F7">
      <w:pPr>
        <w:pStyle w:val="ColorfulList-Accent1"/>
        <w:numPr>
          <w:ilvl w:val="0"/>
          <w:numId w:val="3"/>
        </w:numPr>
        <w:autoSpaceDE w:val="0"/>
        <w:autoSpaceDN w:val="0"/>
        <w:adjustRightInd w:val="0"/>
        <w:jc w:val="both"/>
        <w:rPr>
          <w:rFonts w:ascii="Calibri" w:hAnsi="Calibri" w:cs="Calibri,Bold"/>
          <w:bCs/>
          <w:sz w:val="16"/>
          <w:szCs w:val="22"/>
          <w:lang w:eastAsia="zh-TW"/>
        </w:rPr>
      </w:pPr>
      <w:r>
        <w:rPr>
          <w:rFonts w:ascii="Calibri" w:hAnsi="Calibri" w:cs="Calibri,Bold"/>
          <w:bCs/>
          <w:sz w:val="22"/>
          <w:szCs w:val="22"/>
          <w:lang w:eastAsia="zh-TW"/>
        </w:rPr>
        <w:t xml:space="preserve">Completion of </w:t>
      </w:r>
      <w:r w:rsidR="005E5C48">
        <w:rPr>
          <w:rFonts w:ascii="Calibri" w:hAnsi="Calibri" w:cs="Calibri,Bold"/>
          <w:bCs/>
          <w:sz w:val="22"/>
          <w:szCs w:val="22"/>
          <w:lang w:eastAsia="zh-TW"/>
        </w:rPr>
        <w:t xml:space="preserve">the </w:t>
      </w:r>
      <w:r>
        <w:rPr>
          <w:rFonts w:ascii="Calibri" w:hAnsi="Calibri" w:cs="Calibri,Bold"/>
          <w:bCs/>
          <w:sz w:val="22"/>
          <w:szCs w:val="22"/>
          <w:lang w:eastAsia="zh-TW"/>
        </w:rPr>
        <w:t>Paragem acquisition;</w:t>
      </w:r>
    </w:p>
    <w:p w:rsidR="00E17363" w:rsidRPr="00E17363" w:rsidRDefault="00911829" w:rsidP="004138F7">
      <w:pPr>
        <w:pStyle w:val="ColorfulList-Accent1"/>
        <w:numPr>
          <w:ilvl w:val="0"/>
          <w:numId w:val="3"/>
        </w:numPr>
        <w:autoSpaceDE w:val="0"/>
        <w:autoSpaceDN w:val="0"/>
        <w:adjustRightInd w:val="0"/>
        <w:jc w:val="both"/>
        <w:rPr>
          <w:rFonts w:ascii="Calibri" w:hAnsi="Calibri" w:cs="Calibri,Bold"/>
          <w:bCs/>
          <w:sz w:val="16"/>
          <w:szCs w:val="22"/>
          <w:lang w:eastAsia="zh-TW"/>
        </w:rPr>
      </w:pPr>
      <w:r>
        <w:rPr>
          <w:rFonts w:ascii="Calibri" w:hAnsi="Calibri" w:cs="Calibri,Bold"/>
          <w:bCs/>
          <w:sz w:val="22"/>
          <w:szCs w:val="22"/>
          <w:lang w:eastAsia="zh-TW"/>
        </w:rPr>
        <w:t xml:space="preserve">New </w:t>
      </w:r>
      <w:r w:rsidR="001746AC">
        <w:rPr>
          <w:rFonts w:ascii="Calibri" w:hAnsi="Calibri" w:cs="Calibri,Bold"/>
          <w:bCs/>
          <w:sz w:val="22"/>
          <w:szCs w:val="22"/>
          <w:lang w:eastAsia="zh-TW"/>
        </w:rPr>
        <w:t xml:space="preserve">non-custody </w:t>
      </w:r>
      <w:r w:rsidR="00256422">
        <w:rPr>
          <w:rFonts w:ascii="Calibri" w:hAnsi="Calibri" w:cs="Calibri,Bold"/>
          <w:bCs/>
          <w:sz w:val="22"/>
          <w:szCs w:val="22"/>
          <w:lang w:eastAsia="zh-TW"/>
        </w:rPr>
        <w:t xml:space="preserve">asset reporting </w:t>
      </w:r>
      <w:r w:rsidR="00F804B1">
        <w:rPr>
          <w:rFonts w:ascii="Calibri" w:hAnsi="Calibri" w:cs="Calibri,Bold"/>
          <w:bCs/>
          <w:sz w:val="22"/>
          <w:szCs w:val="22"/>
          <w:lang w:eastAsia="zh-TW"/>
        </w:rPr>
        <w:t xml:space="preserve">and </w:t>
      </w:r>
      <w:r>
        <w:rPr>
          <w:rFonts w:ascii="Calibri" w:hAnsi="Calibri" w:cs="Calibri,Bold"/>
          <w:bCs/>
          <w:sz w:val="22"/>
          <w:szCs w:val="22"/>
          <w:lang w:eastAsia="zh-TW"/>
        </w:rPr>
        <w:t xml:space="preserve">choice of broker </w:t>
      </w:r>
      <w:r w:rsidR="00F804B1">
        <w:rPr>
          <w:rFonts w:ascii="Calibri" w:hAnsi="Calibri" w:cs="Calibri,Bold"/>
          <w:bCs/>
          <w:sz w:val="22"/>
          <w:szCs w:val="22"/>
          <w:lang w:eastAsia="zh-TW"/>
        </w:rPr>
        <w:t xml:space="preserve">software </w:t>
      </w:r>
      <w:r>
        <w:rPr>
          <w:rFonts w:ascii="Calibri" w:hAnsi="Calibri" w:cs="Calibri,Bold"/>
          <w:bCs/>
          <w:sz w:val="22"/>
          <w:szCs w:val="22"/>
          <w:lang w:eastAsia="zh-TW"/>
        </w:rPr>
        <w:t xml:space="preserve">developments </w:t>
      </w:r>
      <w:r w:rsidR="00256422">
        <w:rPr>
          <w:rFonts w:ascii="Calibri" w:hAnsi="Calibri" w:cs="Calibri,Bold"/>
          <w:bCs/>
          <w:sz w:val="22"/>
          <w:szCs w:val="22"/>
          <w:lang w:eastAsia="zh-TW"/>
        </w:rPr>
        <w:t>completed</w:t>
      </w:r>
      <w:r w:rsidR="001746AC">
        <w:rPr>
          <w:rFonts w:ascii="Calibri" w:hAnsi="Calibri" w:cs="Calibri,Bold"/>
          <w:bCs/>
          <w:sz w:val="22"/>
          <w:szCs w:val="22"/>
          <w:lang w:eastAsia="zh-TW"/>
        </w:rPr>
        <w:t>;</w:t>
      </w:r>
    </w:p>
    <w:p w:rsidR="00E17363" w:rsidRPr="00DF63D6" w:rsidRDefault="00E17363" w:rsidP="004138F7">
      <w:pPr>
        <w:pStyle w:val="ColorfulList-Accent1"/>
        <w:numPr>
          <w:ilvl w:val="0"/>
          <w:numId w:val="3"/>
        </w:numPr>
        <w:autoSpaceDE w:val="0"/>
        <w:autoSpaceDN w:val="0"/>
        <w:adjustRightInd w:val="0"/>
        <w:jc w:val="both"/>
        <w:rPr>
          <w:rFonts w:ascii="Calibri" w:hAnsi="Calibri" w:cs="Calibri,Bold"/>
          <w:bCs/>
          <w:sz w:val="16"/>
          <w:szCs w:val="22"/>
          <w:lang w:eastAsia="zh-TW"/>
        </w:rPr>
      </w:pPr>
      <w:r>
        <w:rPr>
          <w:rFonts w:ascii="Calibri" w:hAnsi="Calibri" w:cs="Calibri,Bold"/>
          <w:bCs/>
          <w:sz w:val="22"/>
          <w:szCs w:val="22"/>
          <w:lang w:eastAsia="zh-TW"/>
        </w:rPr>
        <w:t>Addition of Zurich to HUB’s i</w:t>
      </w:r>
      <w:r w:rsidR="00DF63D6">
        <w:rPr>
          <w:rFonts w:ascii="Calibri" w:hAnsi="Calibri" w:cs="Calibri,Bold"/>
          <w:bCs/>
          <w:sz w:val="22"/>
          <w:szCs w:val="22"/>
          <w:lang w:eastAsia="zh-TW"/>
        </w:rPr>
        <w:t>nsurance panel;</w:t>
      </w:r>
    </w:p>
    <w:p w:rsidR="00DF63D6" w:rsidRPr="007C705B" w:rsidRDefault="00DF63D6" w:rsidP="004138F7">
      <w:pPr>
        <w:pStyle w:val="ColorfulList-Accent1"/>
        <w:numPr>
          <w:ilvl w:val="0"/>
          <w:numId w:val="3"/>
        </w:numPr>
        <w:autoSpaceDE w:val="0"/>
        <w:autoSpaceDN w:val="0"/>
        <w:adjustRightInd w:val="0"/>
        <w:jc w:val="both"/>
        <w:rPr>
          <w:rFonts w:ascii="Calibri" w:hAnsi="Calibri" w:cs="Calibri,Bold"/>
          <w:bCs/>
          <w:sz w:val="16"/>
          <w:szCs w:val="22"/>
          <w:lang w:eastAsia="zh-TW"/>
        </w:rPr>
      </w:pPr>
      <w:r>
        <w:rPr>
          <w:rFonts w:ascii="Calibri" w:hAnsi="Calibri" w:cs="Calibri,Bold"/>
          <w:bCs/>
          <w:sz w:val="22"/>
          <w:szCs w:val="22"/>
          <w:lang w:eastAsia="zh-TW"/>
        </w:rPr>
        <w:t>HUB24 selected for BRW’s top 50 most innovative companies for 2014.</w:t>
      </w:r>
    </w:p>
    <w:p w:rsidR="007C705B" w:rsidRDefault="007C705B" w:rsidP="007C705B">
      <w:pPr>
        <w:pStyle w:val="ColorfulList-Accent1"/>
        <w:autoSpaceDE w:val="0"/>
        <w:autoSpaceDN w:val="0"/>
        <w:adjustRightInd w:val="0"/>
        <w:ind w:left="0"/>
        <w:jc w:val="both"/>
        <w:rPr>
          <w:rFonts w:ascii="Calibri" w:hAnsi="Calibri" w:cs="Calibri,Bold"/>
          <w:bCs/>
          <w:sz w:val="22"/>
          <w:szCs w:val="22"/>
          <w:lang w:eastAsia="zh-TW"/>
        </w:rPr>
      </w:pPr>
    </w:p>
    <w:p w:rsidR="00E64A4E" w:rsidRPr="007B12AA" w:rsidRDefault="00F804B1" w:rsidP="007B12AA">
      <w:pPr>
        <w:spacing w:after="200" w:line="276" w:lineRule="auto"/>
        <w:rPr>
          <w:rFonts w:ascii="Calibri" w:eastAsia="Calibri" w:hAnsi="Calibri"/>
          <w:b/>
          <w:sz w:val="22"/>
          <w:szCs w:val="22"/>
          <w:u w:val="single"/>
          <w:lang w:val="en-AU"/>
        </w:rPr>
      </w:pPr>
      <w:r>
        <w:rPr>
          <w:rFonts w:ascii="Calibri" w:eastAsia="Calibri" w:hAnsi="Calibri"/>
          <w:b/>
          <w:sz w:val="22"/>
          <w:szCs w:val="22"/>
          <w:u w:val="single"/>
          <w:lang w:val="en-AU"/>
        </w:rPr>
        <w:t>S</w:t>
      </w:r>
      <w:r w:rsidR="001746AC">
        <w:rPr>
          <w:rFonts w:ascii="Calibri" w:eastAsia="Calibri" w:hAnsi="Calibri"/>
          <w:b/>
          <w:sz w:val="22"/>
          <w:szCs w:val="22"/>
          <w:u w:val="single"/>
          <w:lang w:val="en-AU"/>
        </w:rPr>
        <w:t>trong</w:t>
      </w:r>
      <w:r w:rsidR="005E5C48">
        <w:rPr>
          <w:rFonts w:ascii="Calibri" w:eastAsia="Calibri" w:hAnsi="Calibri"/>
          <w:b/>
          <w:sz w:val="22"/>
          <w:szCs w:val="22"/>
          <w:u w:val="single"/>
          <w:lang w:val="en-AU"/>
        </w:rPr>
        <w:t xml:space="preserve"> start to FY15</w:t>
      </w:r>
    </w:p>
    <w:p w:rsidR="003F51F8" w:rsidRDefault="00D64096" w:rsidP="003F51F8">
      <w:pPr>
        <w:autoSpaceDE w:val="0"/>
        <w:autoSpaceDN w:val="0"/>
        <w:adjustRightInd w:val="0"/>
        <w:jc w:val="both"/>
        <w:rPr>
          <w:rFonts w:ascii="Calibri" w:eastAsia="Calibri" w:hAnsi="Calibri"/>
          <w:sz w:val="22"/>
          <w:szCs w:val="22"/>
          <w:lang w:val="en-AU"/>
        </w:rPr>
      </w:pPr>
      <w:r>
        <w:rPr>
          <w:rFonts w:ascii="Calibri" w:eastAsia="Calibri" w:hAnsi="Calibri"/>
          <w:sz w:val="22"/>
          <w:szCs w:val="22"/>
          <w:lang w:val="en-AU"/>
        </w:rPr>
        <w:t>HUB24 enjoyed r</w:t>
      </w:r>
      <w:r w:rsidR="00886ED0">
        <w:rPr>
          <w:rFonts w:ascii="Calibri" w:eastAsia="Calibri" w:hAnsi="Calibri"/>
          <w:sz w:val="22"/>
          <w:szCs w:val="22"/>
          <w:lang w:val="en-AU"/>
        </w:rPr>
        <w:t xml:space="preserve">ecord </w:t>
      </w:r>
      <w:r w:rsidR="00493CDC">
        <w:rPr>
          <w:rFonts w:ascii="Calibri" w:eastAsia="Calibri" w:hAnsi="Calibri"/>
          <w:sz w:val="22"/>
          <w:szCs w:val="22"/>
          <w:lang w:val="en-AU"/>
        </w:rPr>
        <w:t>N</w:t>
      </w:r>
      <w:r w:rsidR="00AD4771">
        <w:rPr>
          <w:rFonts w:ascii="Calibri" w:eastAsia="Calibri" w:hAnsi="Calibri"/>
          <w:sz w:val="22"/>
          <w:szCs w:val="22"/>
          <w:lang w:val="en-AU"/>
        </w:rPr>
        <w:t xml:space="preserve">et </w:t>
      </w:r>
      <w:r w:rsidR="005E5C48">
        <w:rPr>
          <w:rFonts w:ascii="Calibri" w:eastAsia="Calibri" w:hAnsi="Calibri"/>
          <w:sz w:val="22"/>
          <w:szCs w:val="22"/>
          <w:lang w:val="en-AU"/>
        </w:rPr>
        <w:t xml:space="preserve">and Gross </w:t>
      </w:r>
      <w:r w:rsidR="00493CDC">
        <w:rPr>
          <w:rFonts w:ascii="Calibri" w:eastAsia="Calibri" w:hAnsi="Calibri"/>
          <w:sz w:val="22"/>
          <w:szCs w:val="22"/>
          <w:lang w:val="en-AU"/>
        </w:rPr>
        <w:t>I</w:t>
      </w:r>
      <w:r w:rsidR="00886ED0">
        <w:rPr>
          <w:rFonts w:ascii="Calibri" w:eastAsia="Calibri" w:hAnsi="Calibri"/>
          <w:sz w:val="22"/>
          <w:szCs w:val="22"/>
          <w:lang w:val="en-AU"/>
        </w:rPr>
        <w:t xml:space="preserve">nflows </w:t>
      </w:r>
      <w:r w:rsidR="005E5C48">
        <w:rPr>
          <w:rFonts w:ascii="Calibri" w:eastAsia="Calibri" w:hAnsi="Calibri"/>
          <w:sz w:val="22"/>
          <w:szCs w:val="22"/>
          <w:lang w:val="en-AU"/>
        </w:rPr>
        <w:t>in the September</w:t>
      </w:r>
      <w:r w:rsidR="00AD4771">
        <w:rPr>
          <w:rFonts w:ascii="Calibri" w:eastAsia="Calibri" w:hAnsi="Calibri"/>
          <w:sz w:val="22"/>
          <w:szCs w:val="22"/>
          <w:lang w:val="en-AU"/>
        </w:rPr>
        <w:t xml:space="preserve"> quarter </w:t>
      </w:r>
      <w:r w:rsidR="005B54E3">
        <w:rPr>
          <w:rFonts w:ascii="Calibri" w:eastAsia="Calibri" w:hAnsi="Calibri"/>
          <w:sz w:val="22"/>
          <w:szCs w:val="22"/>
          <w:lang w:val="en-AU"/>
        </w:rPr>
        <w:t xml:space="preserve">as a result of strong support </w:t>
      </w:r>
      <w:r w:rsidR="005B54E3" w:rsidRPr="001746AC">
        <w:rPr>
          <w:rFonts w:ascii="Calibri" w:eastAsia="Calibri" w:hAnsi="Calibri"/>
          <w:sz w:val="22"/>
          <w:szCs w:val="22"/>
          <w:lang w:val="en-AU"/>
        </w:rPr>
        <w:t xml:space="preserve">and engagement </w:t>
      </w:r>
      <w:r w:rsidR="005B54E3">
        <w:rPr>
          <w:rFonts w:ascii="Calibri" w:eastAsia="Calibri" w:hAnsi="Calibri"/>
          <w:sz w:val="22"/>
          <w:szCs w:val="22"/>
          <w:lang w:val="en-AU"/>
        </w:rPr>
        <w:t xml:space="preserve">from new and existing clients.  The flows include growing support for the </w:t>
      </w:r>
      <w:r w:rsidR="00F804B1">
        <w:rPr>
          <w:rFonts w:ascii="Calibri" w:eastAsia="Calibri" w:hAnsi="Calibri"/>
          <w:sz w:val="22"/>
          <w:szCs w:val="22"/>
          <w:lang w:val="en-AU"/>
        </w:rPr>
        <w:t xml:space="preserve">HUB24 </w:t>
      </w:r>
      <w:r w:rsidR="005E5C48">
        <w:rPr>
          <w:rFonts w:ascii="Calibri" w:eastAsia="Calibri" w:hAnsi="Calibri"/>
          <w:sz w:val="22"/>
          <w:szCs w:val="22"/>
          <w:lang w:val="en-AU"/>
        </w:rPr>
        <w:t>white label</w:t>
      </w:r>
      <w:r w:rsidR="005B54E3">
        <w:rPr>
          <w:rFonts w:ascii="Calibri" w:eastAsia="Calibri" w:hAnsi="Calibri"/>
          <w:sz w:val="22"/>
          <w:szCs w:val="22"/>
          <w:lang w:val="en-AU"/>
        </w:rPr>
        <w:t xml:space="preserve">s </w:t>
      </w:r>
      <w:r w:rsidR="00F804B1">
        <w:rPr>
          <w:rFonts w:ascii="Calibri" w:eastAsia="Calibri" w:hAnsi="Calibri"/>
          <w:sz w:val="22"/>
          <w:szCs w:val="22"/>
          <w:lang w:val="en-AU"/>
        </w:rPr>
        <w:t xml:space="preserve">for major clients </w:t>
      </w:r>
      <w:r w:rsidR="005B54E3">
        <w:rPr>
          <w:rFonts w:ascii="Calibri" w:eastAsia="Calibri" w:hAnsi="Calibri"/>
          <w:sz w:val="22"/>
          <w:szCs w:val="22"/>
          <w:lang w:val="en-AU"/>
        </w:rPr>
        <w:t xml:space="preserve">launched </w:t>
      </w:r>
      <w:r w:rsidR="005E5C48">
        <w:rPr>
          <w:rFonts w:ascii="Calibri" w:eastAsia="Calibri" w:hAnsi="Calibri"/>
          <w:sz w:val="22"/>
          <w:szCs w:val="22"/>
          <w:lang w:val="en-AU"/>
        </w:rPr>
        <w:t xml:space="preserve">during FY14 and </w:t>
      </w:r>
      <w:r w:rsidR="005B54E3">
        <w:rPr>
          <w:rFonts w:ascii="Calibri" w:eastAsia="Calibri" w:hAnsi="Calibri"/>
          <w:sz w:val="22"/>
          <w:szCs w:val="22"/>
          <w:lang w:val="en-AU"/>
        </w:rPr>
        <w:t xml:space="preserve">flows from </w:t>
      </w:r>
      <w:r w:rsidR="005E5C48">
        <w:rPr>
          <w:rFonts w:ascii="Calibri" w:eastAsia="Calibri" w:hAnsi="Calibri"/>
          <w:sz w:val="22"/>
          <w:szCs w:val="22"/>
          <w:lang w:val="en-AU"/>
        </w:rPr>
        <w:t xml:space="preserve">more recently introduced </w:t>
      </w:r>
      <w:r w:rsidR="001746AC">
        <w:rPr>
          <w:rFonts w:ascii="Calibri" w:eastAsia="Calibri" w:hAnsi="Calibri"/>
          <w:sz w:val="22"/>
          <w:szCs w:val="22"/>
          <w:lang w:val="en-AU"/>
        </w:rPr>
        <w:t xml:space="preserve">boutique </w:t>
      </w:r>
      <w:r w:rsidR="005B54E3">
        <w:rPr>
          <w:rFonts w:ascii="Calibri" w:eastAsia="Calibri" w:hAnsi="Calibri"/>
          <w:sz w:val="22"/>
          <w:szCs w:val="22"/>
          <w:lang w:val="en-AU"/>
        </w:rPr>
        <w:t xml:space="preserve">licensees </w:t>
      </w:r>
      <w:r w:rsidR="005E5C48">
        <w:rPr>
          <w:rFonts w:ascii="Calibri" w:eastAsia="Calibri" w:hAnsi="Calibri"/>
          <w:sz w:val="22"/>
          <w:szCs w:val="22"/>
          <w:lang w:val="en-AU"/>
        </w:rPr>
        <w:t>to HUB’s retail offering.</w:t>
      </w:r>
      <w:r w:rsidR="005B54E3">
        <w:rPr>
          <w:rFonts w:ascii="Calibri" w:eastAsia="Calibri" w:hAnsi="Calibri"/>
          <w:sz w:val="22"/>
          <w:szCs w:val="22"/>
          <w:lang w:val="en-AU"/>
        </w:rPr>
        <w:t xml:space="preserve"> </w:t>
      </w:r>
      <w:r w:rsidR="003F51F8" w:rsidRPr="001746AC">
        <w:rPr>
          <w:rFonts w:ascii="Calibri" w:eastAsia="Calibri" w:hAnsi="Calibri"/>
          <w:sz w:val="22"/>
          <w:szCs w:val="22"/>
          <w:lang w:val="en-AU"/>
        </w:rPr>
        <w:t xml:space="preserve">Monthly average net inflows </w:t>
      </w:r>
      <w:r w:rsidR="00556DC8">
        <w:rPr>
          <w:rFonts w:ascii="Calibri" w:eastAsia="Calibri" w:hAnsi="Calibri"/>
          <w:sz w:val="22"/>
          <w:szCs w:val="22"/>
          <w:lang w:val="en-AU"/>
        </w:rPr>
        <w:t xml:space="preserve">for Q1 </w:t>
      </w:r>
      <w:r w:rsidR="00911829">
        <w:rPr>
          <w:rFonts w:ascii="Calibri" w:eastAsia="Calibri" w:hAnsi="Calibri"/>
          <w:sz w:val="22"/>
          <w:szCs w:val="22"/>
          <w:lang w:val="en-AU"/>
        </w:rPr>
        <w:t xml:space="preserve">FY15 </w:t>
      </w:r>
      <w:r w:rsidR="003F51F8" w:rsidRPr="001746AC">
        <w:rPr>
          <w:rFonts w:ascii="Calibri" w:eastAsia="Calibri" w:hAnsi="Calibri"/>
          <w:sz w:val="22"/>
          <w:szCs w:val="22"/>
          <w:lang w:val="en-AU"/>
        </w:rPr>
        <w:t>have increased to $57m from</w:t>
      </w:r>
      <w:r w:rsidR="00556DC8">
        <w:rPr>
          <w:rFonts w:ascii="Calibri" w:eastAsia="Calibri" w:hAnsi="Calibri"/>
          <w:sz w:val="22"/>
          <w:szCs w:val="22"/>
          <w:lang w:val="en-AU"/>
        </w:rPr>
        <w:t xml:space="preserve"> </w:t>
      </w:r>
      <w:r w:rsidR="003F51F8" w:rsidRPr="001746AC">
        <w:rPr>
          <w:rFonts w:ascii="Calibri" w:eastAsia="Calibri" w:hAnsi="Calibri"/>
          <w:sz w:val="22"/>
          <w:szCs w:val="22"/>
          <w:lang w:val="en-AU"/>
        </w:rPr>
        <w:t xml:space="preserve">$32.8m </w:t>
      </w:r>
      <w:r w:rsidR="005B54E3">
        <w:rPr>
          <w:rFonts w:ascii="Calibri" w:eastAsia="Calibri" w:hAnsi="Calibri"/>
          <w:sz w:val="22"/>
          <w:szCs w:val="22"/>
          <w:lang w:val="en-AU"/>
        </w:rPr>
        <w:t xml:space="preserve">average monthly net inflows </w:t>
      </w:r>
      <w:r w:rsidR="00911829">
        <w:rPr>
          <w:rFonts w:ascii="Calibri" w:eastAsia="Calibri" w:hAnsi="Calibri"/>
          <w:sz w:val="22"/>
          <w:szCs w:val="22"/>
          <w:lang w:val="en-AU"/>
        </w:rPr>
        <w:t xml:space="preserve">for </w:t>
      </w:r>
      <w:r w:rsidR="003F51F8" w:rsidRPr="001746AC">
        <w:rPr>
          <w:rFonts w:ascii="Calibri" w:eastAsia="Calibri" w:hAnsi="Calibri"/>
          <w:sz w:val="22"/>
          <w:szCs w:val="22"/>
          <w:lang w:val="en-AU"/>
        </w:rPr>
        <w:t>FY14</w:t>
      </w:r>
      <w:r w:rsidR="00556DC8">
        <w:rPr>
          <w:rFonts w:ascii="Calibri" w:eastAsia="Calibri" w:hAnsi="Calibri"/>
          <w:sz w:val="22"/>
          <w:szCs w:val="22"/>
          <w:lang w:val="en-AU"/>
        </w:rPr>
        <w:t>.</w:t>
      </w:r>
      <w:r w:rsidR="003F51F8" w:rsidRPr="001746AC">
        <w:rPr>
          <w:rFonts w:ascii="Calibri" w:eastAsia="Calibri" w:hAnsi="Calibri"/>
          <w:sz w:val="22"/>
          <w:szCs w:val="22"/>
          <w:lang w:val="en-AU"/>
        </w:rPr>
        <w:t xml:space="preserve"> </w:t>
      </w:r>
    </w:p>
    <w:p w:rsidR="003F51F8" w:rsidRDefault="003F51F8" w:rsidP="003F51F8">
      <w:pPr>
        <w:autoSpaceDE w:val="0"/>
        <w:autoSpaceDN w:val="0"/>
        <w:adjustRightInd w:val="0"/>
        <w:jc w:val="both"/>
        <w:rPr>
          <w:rFonts w:ascii="Calibri" w:hAnsi="Calibri" w:cs="Calibri,Bold"/>
          <w:bCs/>
          <w:sz w:val="22"/>
          <w:szCs w:val="22"/>
          <w:lang w:val="en-AU" w:eastAsia="zh-TW"/>
        </w:rPr>
      </w:pPr>
    </w:p>
    <w:p w:rsidR="00FE7ED7" w:rsidRDefault="005B54E3" w:rsidP="005B54E3">
      <w:pPr>
        <w:autoSpaceDE w:val="0"/>
        <w:autoSpaceDN w:val="0"/>
        <w:adjustRightInd w:val="0"/>
        <w:jc w:val="both"/>
        <w:rPr>
          <w:rFonts w:ascii="Calibri" w:eastAsia="Calibri" w:hAnsi="Calibri"/>
          <w:sz w:val="22"/>
          <w:szCs w:val="22"/>
          <w:lang w:val="en-AU"/>
        </w:rPr>
      </w:pPr>
      <w:r>
        <w:rPr>
          <w:rFonts w:ascii="Calibri" w:eastAsia="Calibri" w:hAnsi="Calibri"/>
          <w:sz w:val="22"/>
          <w:szCs w:val="22"/>
          <w:lang w:val="en-AU"/>
        </w:rPr>
        <w:t>There are now 38 active licensees using HUB24’s superannuation and IDPS platform a</w:t>
      </w:r>
      <w:r w:rsidR="00F804B1">
        <w:rPr>
          <w:rFonts w:ascii="Calibri" w:eastAsia="Calibri" w:hAnsi="Calibri"/>
          <w:sz w:val="22"/>
          <w:szCs w:val="22"/>
          <w:lang w:val="en-AU"/>
        </w:rPr>
        <w:t>nd this is an increase of 11</w:t>
      </w:r>
      <w:r>
        <w:rPr>
          <w:rFonts w:ascii="Calibri" w:eastAsia="Calibri" w:hAnsi="Calibri"/>
          <w:sz w:val="22"/>
          <w:szCs w:val="22"/>
          <w:lang w:val="en-AU"/>
        </w:rPr>
        <w:t xml:space="preserve"> since July 2013.  These new groups contributed $60m to the increase in FUA for the quarter.  </w:t>
      </w:r>
      <w:r w:rsidR="00FE7ED7">
        <w:rPr>
          <w:rFonts w:ascii="Calibri" w:eastAsia="Calibri" w:hAnsi="Calibri"/>
          <w:sz w:val="22"/>
          <w:szCs w:val="22"/>
          <w:lang w:val="en-AU"/>
        </w:rPr>
        <w:t>The number of active advisers u</w:t>
      </w:r>
      <w:r w:rsidR="001E4CBD">
        <w:rPr>
          <w:rFonts w:ascii="Calibri" w:eastAsia="Calibri" w:hAnsi="Calibri"/>
          <w:sz w:val="22"/>
          <w:szCs w:val="22"/>
          <w:lang w:val="en-AU"/>
        </w:rPr>
        <w:t>sing the platform</w:t>
      </w:r>
      <w:r>
        <w:rPr>
          <w:rFonts w:ascii="Calibri" w:eastAsia="Calibri" w:hAnsi="Calibri"/>
          <w:sz w:val="22"/>
          <w:szCs w:val="22"/>
          <w:lang w:val="en-AU"/>
        </w:rPr>
        <w:t xml:space="preserve"> increased by 38 during the September quarter</w:t>
      </w:r>
      <w:r w:rsidR="00FE7ED7">
        <w:rPr>
          <w:rFonts w:ascii="Calibri" w:eastAsia="Calibri" w:hAnsi="Calibri"/>
          <w:sz w:val="22"/>
          <w:szCs w:val="22"/>
          <w:lang w:val="en-AU"/>
        </w:rPr>
        <w:t xml:space="preserve"> largely being authorised by HUB24’s white label licensees</w:t>
      </w:r>
      <w:r w:rsidR="00B32760">
        <w:rPr>
          <w:rFonts w:ascii="Calibri" w:eastAsia="Calibri" w:hAnsi="Calibri"/>
          <w:sz w:val="22"/>
          <w:szCs w:val="22"/>
          <w:lang w:val="en-AU"/>
        </w:rPr>
        <w:t>.</w:t>
      </w:r>
    </w:p>
    <w:p w:rsidR="00F804B1" w:rsidRDefault="00F804B1" w:rsidP="005B54E3">
      <w:pPr>
        <w:autoSpaceDE w:val="0"/>
        <w:autoSpaceDN w:val="0"/>
        <w:adjustRightInd w:val="0"/>
        <w:jc w:val="both"/>
        <w:rPr>
          <w:rFonts w:ascii="Calibri" w:eastAsia="Calibri" w:hAnsi="Calibri"/>
          <w:sz w:val="22"/>
          <w:szCs w:val="22"/>
          <w:lang w:val="en-AU"/>
        </w:rPr>
      </w:pPr>
    </w:p>
    <w:p w:rsidR="00FE7ED7" w:rsidRDefault="00F804B1" w:rsidP="005B54E3">
      <w:pPr>
        <w:autoSpaceDE w:val="0"/>
        <w:autoSpaceDN w:val="0"/>
        <w:adjustRightInd w:val="0"/>
        <w:jc w:val="both"/>
        <w:rPr>
          <w:rFonts w:ascii="Calibri" w:eastAsia="Calibri" w:hAnsi="Calibri"/>
          <w:sz w:val="22"/>
          <w:szCs w:val="22"/>
          <w:lang w:val="en-AU"/>
        </w:rPr>
      </w:pPr>
      <w:r>
        <w:rPr>
          <w:rFonts w:ascii="Calibri" w:eastAsia="Calibri" w:hAnsi="Calibri"/>
          <w:sz w:val="22"/>
          <w:szCs w:val="22"/>
          <w:lang w:val="en-AU"/>
        </w:rPr>
        <w:t>Having reached $1bn in FUA at 4</w:t>
      </w:r>
      <w:r w:rsidRPr="00F804B1">
        <w:rPr>
          <w:rFonts w:ascii="Calibri" w:eastAsia="Calibri" w:hAnsi="Calibri"/>
          <w:sz w:val="22"/>
          <w:szCs w:val="22"/>
          <w:vertAlign w:val="superscript"/>
          <w:lang w:val="en-AU"/>
        </w:rPr>
        <w:t>th</w:t>
      </w:r>
      <w:r>
        <w:rPr>
          <w:rFonts w:ascii="Calibri" w:eastAsia="Calibri" w:hAnsi="Calibri"/>
          <w:sz w:val="22"/>
          <w:szCs w:val="22"/>
          <w:lang w:val="en-AU"/>
        </w:rPr>
        <w:t xml:space="preserve"> </w:t>
      </w:r>
      <w:r w:rsidR="00FE7ED7">
        <w:rPr>
          <w:rFonts w:ascii="Calibri" w:eastAsia="Calibri" w:hAnsi="Calibri"/>
          <w:sz w:val="22"/>
          <w:szCs w:val="22"/>
          <w:lang w:val="en-AU"/>
        </w:rPr>
        <w:t>September 2014</w:t>
      </w:r>
      <w:r w:rsidR="00556DC8">
        <w:rPr>
          <w:rFonts w:ascii="Calibri" w:eastAsia="Calibri" w:hAnsi="Calibri"/>
          <w:sz w:val="22"/>
          <w:szCs w:val="22"/>
          <w:lang w:val="en-AU"/>
        </w:rPr>
        <w:t>,</w:t>
      </w:r>
      <w:r w:rsidR="00FE7ED7">
        <w:rPr>
          <w:rFonts w:ascii="Calibri" w:eastAsia="Calibri" w:hAnsi="Calibri"/>
          <w:sz w:val="22"/>
          <w:szCs w:val="22"/>
          <w:lang w:val="en-AU"/>
        </w:rPr>
        <w:t xml:space="preserve"> growth has continued with FUA reaching $1.03bn at 30 September 2014 </w:t>
      </w:r>
      <w:r>
        <w:rPr>
          <w:rFonts w:ascii="Calibri" w:eastAsia="Calibri" w:hAnsi="Calibri"/>
          <w:sz w:val="22"/>
          <w:szCs w:val="22"/>
          <w:lang w:val="en-AU"/>
        </w:rPr>
        <w:t xml:space="preserve">(net of market movement) </w:t>
      </w:r>
      <w:r w:rsidR="00FE7ED7">
        <w:rPr>
          <w:rFonts w:ascii="Calibri" w:eastAsia="Calibri" w:hAnsi="Calibri"/>
          <w:sz w:val="22"/>
          <w:szCs w:val="22"/>
          <w:lang w:val="en-AU"/>
        </w:rPr>
        <w:t>which is an increase of 20.7% since 30 June 2014.</w:t>
      </w:r>
    </w:p>
    <w:p w:rsidR="00FE7ED7" w:rsidRDefault="00FE7ED7" w:rsidP="005B54E3">
      <w:pPr>
        <w:autoSpaceDE w:val="0"/>
        <w:autoSpaceDN w:val="0"/>
        <w:adjustRightInd w:val="0"/>
        <w:jc w:val="both"/>
        <w:rPr>
          <w:rFonts w:ascii="Calibri" w:eastAsia="Calibri" w:hAnsi="Calibri"/>
          <w:sz w:val="22"/>
          <w:szCs w:val="22"/>
          <w:lang w:val="en-AU"/>
        </w:rPr>
      </w:pPr>
    </w:p>
    <w:p w:rsidR="00183EA2" w:rsidRPr="008B790F" w:rsidRDefault="00183EA2" w:rsidP="00C92B75">
      <w:pPr>
        <w:autoSpaceDE w:val="0"/>
        <w:autoSpaceDN w:val="0"/>
        <w:adjustRightInd w:val="0"/>
        <w:jc w:val="both"/>
        <w:rPr>
          <w:rFonts w:ascii="Calibri" w:hAnsi="Calibri" w:cs="Calibri,Bold"/>
          <w:bCs/>
          <w:sz w:val="22"/>
          <w:szCs w:val="22"/>
          <w:lang w:val="en-AU" w:eastAsia="zh-TW"/>
        </w:rPr>
      </w:pPr>
    </w:p>
    <w:tbl>
      <w:tblPr>
        <w:tblW w:w="1012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5133"/>
      </w:tblGrid>
      <w:tr w:rsidR="009774A5" w:rsidRPr="008B790F" w:rsidTr="00B155DC">
        <w:trPr>
          <w:trHeight w:val="4101"/>
        </w:trPr>
        <w:tc>
          <w:tcPr>
            <w:tcW w:w="4991" w:type="dxa"/>
            <w:shd w:val="clear" w:color="auto" w:fill="auto"/>
          </w:tcPr>
          <w:p w:rsidR="00CD2AE7" w:rsidRPr="008B790F" w:rsidRDefault="00B209E8" w:rsidP="008B790F">
            <w:pPr>
              <w:autoSpaceDE w:val="0"/>
              <w:autoSpaceDN w:val="0"/>
              <w:adjustRightInd w:val="0"/>
              <w:jc w:val="both"/>
              <w:rPr>
                <w:rFonts w:ascii="Calibri" w:hAnsi="Calibri" w:cs="Calibri,Bold"/>
                <w:bCs/>
                <w:sz w:val="22"/>
                <w:szCs w:val="22"/>
                <w:lang w:val="en-AU" w:eastAsia="zh-TW"/>
              </w:rPr>
            </w:pPr>
            <w:r w:rsidRPr="00EB44C9">
              <w:rPr>
                <w:noProof/>
                <w:lang w:val="en-AU" w:eastAsia="en-AU"/>
              </w:rPr>
              <w:drawing>
                <wp:inline distT="0" distB="0" distL="0" distR="0">
                  <wp:extent cx="2973705" cy="2663825"/>
                  <wp:effectExtent l="0" t="0" r="17145" b="3175"/>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c>
          <w:tcPr>
            <w:tcW w:w="5133" w:type="dxa"/>
            <w:shd w:val="clear" w:color="auto" w:fill="auto"/>
          </w:tcPr>
          <w:p w:rsidR="00CD2AE7" w:rsidRPr="008B790F" w:rsidRDefault="00B209E8" w:rsidP="008B790F">
            <w:pPr>
              <w:autoSpaceDE w:val="0"/>
              <w:autoSpaceDN w:val="0"/>
              <w:adjustRightInd w:val="0"/>
              <w:jc w:val="both"/>
              <w:rPr>
                <w:rFonts w:ascii="Calibri" w:hAnsi="Calibri" w:cs="Calibri,Bold"/>
                <w:bCs/>
                <w:sz w:val="22"/>
                <w:szCs w:val="22"/>
                <w:lang w:val="en-AU" w:eastAsia="zh-TW"/>
              </w:rPr>
            </w:pPr>
            <w:r w:rsidRPr="00EB44C9">
              <w:rPr>
                <w:noProof/>
                <w:lang w:val="en-AU" w:eastAsia="en-AU"/>
              </w:rPr>
              <w:drawing>
                <wp:inline distT="0" distB="0" distL="0" distR="0">
                  <wp:extent cx="3140710" cy="2504440"/>
                  <wp:effectExtent l="0" t="0" r="2540" b="1016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rsidR="0027189B" w:rsidRDefault="0027189B" w:rsidP="00AC3567">
      <w:pPr>
        <w:jc w:val="both"/>
        <w:rPr>
          <w:rFonts w:ascii="Arial" w:eastAsia="Times New Roman" w:hAnsi="Arial" w:cs="Arial"/>
          <w:sz w:val="20"/>
          <w:szCs w:val="20"/>
          <w:lang w:val="x-none" w:eastAsia="en-AU"/>
        </w:rPr>
      </w:pPr>
    </w:p>
    <w:p w:rsidR="00323267" w:rsidRDefault="00323267" w:rsidP="00AC3567">
      <w:pPr>
        <w:jc w:val="both"/>
        <w:rPr>
          <w:rFonts w:ascii="Arial" w:eastAsia="Times New Roman" w:hAnsi="Arial" w:cs="Arial"/>
          <w:sz w:val="20"/>
          <w:szCs w:val="20"/>
          <w:lang w:val="x-none" w:eastAsia="en-AU"/>
        </w:rPr>
      </w:pPr>
    </w:p>
    <w:p w:rsidR="001E4CBD" w:rsidRDefault="001E4CBD" w:rsidP="00AC3567">
      <w:pPr>
        <w:jc w:val="both"/>
        <w:rPr>
          <w:rFonts w:ascii="Arial" w:eastAsia="Times New Roman" w:hAnsi="Arial" w:cs="Arial"/>
          <w:sz w:val="20"/>
          <w:szCs w:val="20"/>
          <w:lang w:val="x-none" w:eastAsia="en-AU"/>
        </w:rPr>
      </w:pPr>
    </w:p>
    <w:p w:rsidR="00323267" w:rsidRDefault="00323267" w:rsidP="00AC3567">
      <w:pPr>
        <w:jc w:val="both"/>
        <w:rPr>
          <w:rFonts w:ascii="Arial" w:eastAsia="Times New Roman" w:hAnsi="Arial" w:cs="Arial"/>
          <w:sz w:val="20"/>
          <w:szCs w:val="20"/>
          <w:lang w:val="x-none" w:eastAsia="en-AU"/>
        </w:rPr>
      </w:pPr>
    </w:p>
    <w:tbl>
      <w:tblPr>
        <w:tblW w:w="9766" w:type="dxa"/>
        <w:tblInd w:w="123" w:type="dxa"/>
        <w:tblLook w:val="04A0" w:firstRow="1" w:lastRow="0" w:firstColumn="1" w:lastColumn="0" w:noHBand="0" w:noVBand="1"/>
      </w:tblPr>
      <w:tblGrid>
        <w:gridCol w:w="2679"/>
        <w:gridCol w:w="1275"/>
        <w:gridCol w:w="1134"/>
        <w:gridCol w:w="1134"/>
        <w:gridCol w:w="1134"/>
        <w:gridCol w:w="1276"/>
        <w:gridCol w:w="1134"/>
      </w:tblGrid>
      <w:tr w:rsidR="00F804B1" w:rsidRPr="00E17363" w:rsidTr="00267372">
        <w:trPr>
          <w:trHeight w:val="285"/>
        </w:trPr>
        <w:tc>
          <w:tcPr>
            <w:tcW w:w="2679" w:type="dxa"/>
            <w:tcBorders>
              <w:top w:val="single" w:sz="12" w:space="0" w:color="auto"/>
              <w:left w:val="single" w:sz="12" w:space="0" w:color="auto"/>
              <w:bottom w:val="nil"/>
              <w:right w:val="nil"/>
            </w:tcBorders>
            <w:shd w:val="clear" w:color="auto" w:fill="auto"/>
            <w:vAlign w:val="bottom"/>
            <w:hideMark/>
          </w:tcPr>
          <w:p w:rsidR="00F804B1" w:rsidRPr="00E17363" w:rsidRDefault="00F804B1" w:rsidP="00F804B1">
            <w:pPr>
              <w:rPr>
                <w:rFonts w:ascii="Arial" w:eastAsia="Times New Roman" w:hAnsi="Arial" w:cs="Arial"/>
                <w:b/>
                <w:bCs/>
                <w:sz w:val="20"/>
                <w:szCs w:val="20"/>
                <w:lang w:val="en-AU" w:eastAsia="en-AU"/>
              </w:rPr>
            </w:pPr>
            <w:r w:rsidRPr="00E17363">
              <w:rPr>
                <w:rFonts w:ascii="Arial" w:eastAsia="Times New Roman" w:hAnsi="Arial" w:cs="Arial"/>
                <w:b/>
                <w:bCs/>
                <w:sz w:val="20"/>
                <w:szCs w:val="20"/>
                <w:lang w:val="en-AU" w:eastAsia="en-AU"/>
              </w:rPr>
              <w:t xml:space="preserve">Platform statistics (1) </w:t>
            </w:r>
          </w:p>
        </w:tc>
        <w:tc>
          <w:tcPr>
            <w:tcW w:w="1275" w:type="dxa"/>
            <w:tcBorders>
              <w:top w:val="single" w:sz="12" w:space="0" w:color="auto"/>
              <w:left w:val="nil"/>
              <w:bottom w:val="single" w:sz="8" w:space="0" w:color="7F7F7F"/>
              <w:right w:val="nil"/>
            </w:tcBorders>
            <w:vAlign w:val="center"/>
          </w:tcPr>
          <w:p w:rsidR="00F804B1" w:rsidRPr="00E17363" w:rsidRDefault="00F804B1" w:rsidP="00F804B1">
            <w:pPr>
              <w:jc w:val="center"/>
              <w:rPr>
                <w:rFonts w:ascii="Calibri" w:eastAsia="Times New Roman" w:hAnsi="Calibri" w:cs="Arial"/>
                <w:b/>
                <w:bCs/>
                <w:sz w:val="20"/>
                <w:szCs w:val="20"/>
                <w:lang w:val="en-AU" w:eastAsia="en-AU"/>
              </w:rPr>
            </w:pPr>
            <w:r w:rsidRPr="00E17363">
              <w:rPr>
                <w:rFonts w:ascii="Calibri" w:eastAsia="Times New Roman" w:hAnsi="Calibri" w:cs="Arial"/>
                <w:b/>
                <w:bCs/>
                <w:sz w:val="20"/>
                <w:szCs w:val="20"/>
                <w:lang w:val="en-AU" w:eastAsia="en-AU"/>
              </w:rPr>
              <w:t>SEPT’13</w:t>
            </w:r>
          </w:p>
        </w:tc>
        <w:tc>
          <w:tcPr>
            <w:tcW w:w="1134" w:type="dxa"/>
            <w:tcBorders>
              <w:top w:val="single" w:sz="12" w:space="0" w:color="auto"/>
              <w:left w:val="nil"/>
              <w:bottom w:val="single" w:sz="8" w:space="0" w:color="7F7F7F"/>
              <w:right w:val="nil"/>
            </w:tcBorders>
            <w:vAlign w:val="center"/>
          </w:tcPr>
          <w:p w:rsidR="00F804B1" w:rsidRPr="00E17363" w:rsidRDefault="00F804B1" w:rsidP="00F804B1">
            <w:pPr>
              <w:jc w:val="center"/>
              <w:rPr>
                <w:rFonts w:ascii="Calibri" w:eastAsia="Times New Roman" w:hAnsi="Calibri" w:cs="Arial"/>
                <w:b/>
                <w:bCs/>
                <w:sz w:val="20"/>
                <w:szCs w:val="20"/>
                <w:lang w:val="en-AU" w:eastAsia="en-AU"/>
              </w:rPr>
            </w:pPr>
            <w:r w:rsidRPr="00E17363">
              <w:rPr>
                <w:rFonts w:ascii="Calibri" w:eastAsia="Times New Roman" w:hAnsi="Calibri" w:cs="Arial"/>
                <w:b/>
                <w:bCs/>
                <w:sz w:val="20"/>
                <w:szCs w:val="20"/>
                <w:lang w:val="en-AU" w:eastAsia="en-AU"/>
              </w:rPr>
              <w:t>DEC ‘13</w:t>
            </w:r>
          </w:p>
        </w:tc>
        <w:tc>
          <w:tcPr>
            <w:tcW w:w="1134" w:type="dxa"/>
            <w:tcBorders>
              <w:top w:val="single" w:sz="12" w:space="0" w:color="auto"/>
              <w:left w:val="nil"/>
              <w:bottom w:val="single" w:sz="8" w:space="0" w:color="7F7F7F"/>
              <w:right w:val="nil"/>
            </w:tcBorders>
            <w:vAlign w:val="center"/>
          </w:tcPr>
          <w:p w:rsidR="00F804B1" w:rsidRPr="00E17363" w:rsidRDefault="00F804B1" w:rsidP="00F804B1">
            <w:pPr>
              <w:jc w:val="center"/>
              <w:rPr>
                <w:rFonts w:ascii="Calibri" w:eastAsia="Times New Roman" w:hAnsi="Calibri" w:cs="Arial"/>
                <w:b/>
                <w:bCs/>
                <w:sz w:val="20"/>
                <w:szCs w:val="20"/>
                <w:lang w:val="en-AU" w:eastAsia="en-AU"/>
              </w:rPr>
            </w:pPr>
            <w:r w:rsidRPr="00E17363">
              <w:rPr>
                <w:rFonts w:ascii="Calibri" w:eastAsia="Times New Roman" w:hAnsi="Calibri" w:cs="Arial"/>
                <w:b/>
                <w:bCs/>
                <w:sz w:val="20"/>
                <w:szCs w:val="20"/>
                <w:lang w:val="en-AU" w:eastAsia="en-AU"/>
              </w:rPr>
              <w:t>MAR ‘14</w:t>
            </w:r>
          </w:p>
        </w:tc>
        <w:tc>
          <w:tcPr>
            <w:tcW w:w="1134" w:type="dxa"/>
            <w:tcBorders>
              <w:top w:val="single" w:sz="12" w:space="0" w:color="auto"/>
              <w:left w:val="nil"/>
              <w:bottom w:val="single" w:sz="8" w:space="0" w:color="7F7F7F"/>
              <w:right w:val="nil"/>
            </w:tcBorders>
            <w:vAlign w:val="center"/>
          </w:tcPr>
          <w:p w:rsidR="00F804B1" w:rsidRPr="00E17363" w:rsidRDefault="00F804B1" w:rsidP="00F804B1">
            <w:pPr>
              <w:jc w:val="center"/>
              <w:rPr>
                <w:rFonts w:ascii="Calibri" w:eastAsia="Times New Roman" w:hAnsi="Calibri" w:cs="Arial"/>
                <w:b/>
                <w:bCs/>
                <w:sz w:val="20"/>
                <w:szCs w:val="20"/>
                <w:lang w:val="en-AU" w:eastAsia="en-AU"/>
              </w:rPr>
            </w:pPr>
            <w:r w:rsidRPr="00E17363">
              <w:rPr>
                <w:rFonts w:ascii="Calibri" w:eastAsia="Times New Roman" w:hAnsi="Calibri" w:cs="Arial"/>
                <w:b/>
                <w:bCs/>
                <w:sz w:val="20"/>
                <w:szCs w:val="20"/>
                <w:lang w:val="en-AU" w:eastAsia="en-AU"/>
              </w:rPr>
              <w:t>JUN ‘14</w:t>
            </w:r>
          </w:p>
        </w:tc>
        <w:tc>
          <w:tcPr>
            <w:tcW w:w="1276" w:type="dxa"/>
            <w:tcBorders>
              <w:top w:val="single" w:sz="12" w:space="0" w:color="auto"/>
              <w:left w:val="nil"/>
              <w:bottom w:val="single" w:sz="8" w:space="0" w:color="7F7F7F"/>
              <w:right w:val="nil"/>
            </w:tcBorders>
            <w:shd w:val="clear" w:color="auto" w:fill="auto"/>
            <w:vAlign w:val="center"/>
            <w:hideMark/>
          </w:tcPr>
          <w:p w:rsidR="00F804B1" w:rsidRPr="00E17363" w:rsidRDefault="00F804B1" w:rsidP="00F804B1">
            <w:pPr>
              <w:jc w:val="center"/>
              <w:rPr>
                <w:rFonts w:ascii="Calibri" w:eastAsia="Times New Roman" w:hAnsi="Calibri" w:cs="Arial"/>
                <w:b/>
                <w:bCs/>
                <w:sz w:val="20"/>
                <w:szCs w:val="20"/>
                <w:lang w:val="en-AU" w:eastAsia="en-AU"/>
              </w:rPr>
            </w:pPr>
            <w:r w:rsidRPr="00E17363">
              <w:rPr>
                <w:rFonts w:ascii="Calibri" w:eastAsia="Times New Roman" w:hAnsi="Calibri" w:cs="Arial"/>
                <w:b/>
                <w:bCs/>
                <w:sz w:val="20"/>
                <w:szCs w:val="20"/>
                <w:lang w:val="en-AU" w:eastAsia="en-AU"/>
              </w:rPr>
              <w:t>SEPT ‘14</w:t>
            </w:r>
          </w:p>
        </w:tc>
        <w:tc>
          <w:tcPr>
            <w:tcW w:w="1134" w:type="dxa"/>
            <w:tcBorders>
              <w:top w:val="single" w:sz="12" w:space="0" w:color="auto"/>
              <w:left w:val="dotDash" w:sz="4" w:space="0" w:color="auto"/>
              <w:bottom w:val="single" w:sz="8" w:space="0" w:color="7F7F7F"/>
              <w:right w:val="single" w:sz="12" w:space="0" w:color="auto"/>
            </w:tcBorders>
            <w:shd w:val="clear" w:color="auto" w:fill="auto"/>
            <w:vAlign w:val="center"/>
            <w:hideMark/>
          </w:tcPr>
          <w:p w:rsidR="00F804B1" w:rsidRPr="00E17363" w:rsidRDefault="00F804B1" w:rsidP="00F804B1">
            <w:pPr>
              <w:jc w:val="center"/>
              <w:rPr>
                <w:rFonts w:ascii="Calibri" w:eastAsia="Times New Roman" w:hAnsi="Calibri" w:cs="Arial"/>
                <w:b/>
                <w:bCs/>
                <w:sz w:val="20"/>
                <w:szCs w:val="20"/>
                <w:lang w:val="en-AU" w:eastAsia="en-AU"/>
              </w:rPr>
            </w:pPr>
            <w:r w:rsidRPr="00E17363">
              <w:rPr>
                <w:rFonts w:ascii="Calibri" w:eastAsia="Times New Roman" w:hAnsi="Calibri" w:cs="Arial"/>
                <w:b/>
                <w:bCs/>
                <w:sz w:val="20"/>
                <w:szCs w:val="20"/>
                <w:lang w:val="en-AU" w:eastAsia="en-AU"/>
              </w:rPr>
              <w:t>TTM*</w:t>
            </w:r>
            <w:r>
              <w:rPr>
                <w:rFonts w:ascii="Calibri" w:eastAsia="Times New Roman" w:hAnsi="Calibri" w:cs="Arial"/>
                <w:b/>
                <w:bCs/>
                <w:sz w:val="20"/>
                <w:szCs w:val="20"/>
                <w:lang w:val="en-AU" w:eastAsia="en-AU"/>
              </w:rPr>
              <w:t>*</w:t>
            </w:r>
          </w:p>
        </w:tc>
      </w:tr>
      <w:tr w:rsidR="00F804B1" w:rsidRPr="00E17363" w:rsidTr="00267372">
        <w:trPr>
          <w:trHeight w:val="255"/>
        </w:trPr>
        <w:tc>
          <w:tcPr>
            <w:tcW w:w="2679" w:type="dxa"/>
            <w:tcBorders>
              <w:top w:val="nil"/>
              <w:left w:val="single" w:sz="12" w:space="0" w:color="auto"/>
              <w:bottom w:val="nil"/>
              <w:right w:val="single" w:sz="8" w:space="0" w:color="7F7F7F"/>
            </w:tcBorders>
            <w:shd w:val="clear" w:color="000000" w:fill="F2F2F2"/>
            <w:vAlign w:val="center"/>
            <w:hideMark/>
          </w:tcPr>
          <w:p w:rsidR="00F804B1" w:rsidRPr="00E17363" w:rsidRDefault="00F804B1" w:rsidP="00F804B1">
            <w:pPr>
              <w:jc w:val="both"/>
              <w:rPr>
                <w:rFonts w:ascii="Calibri" w:eastAsia="Times New Roman" w:hAnsi="Calibri" w:cs="Arial"/>
                <w:b/>
                <w:bCs/>
                <w:sz w:val="20"/>
                <w:szCs w:val="20"/>
                <w:lang w:val="en-AU" w:eastAsia="en-AU"/>
              </w:rPr>
            </w:pPr>
            <w:r w:rsidRPr="00E17363">
              <w:rPr>
                <w:rFonts w:ascii="Calibri" w:eastAsia="Times New Roman" w:hAnsi="Calibri" w:cs="Arial"/>
                <w:b/>
                <w:bCs/>
                <w:sz w:val="20"/>
                <w:szCs w:val="20"/>
                <w:lang w:val="en-AU" w:eastAsia="en-AU"/>
              </w:rPr>
              <w:t> </w:t>
            </w:r>
          </w:p>
        </w:tc>
        <w:tc>
          <w:tcPr>
            <w:tcW w:w="1275" w:type="dxa"/>
            <w:tcBorders>
              <w:top w:val="nil"/>
              <w:left w:val="nil"/>
              <w:bottom w:val="nil"/>
              <w:right w:val="nil"/>
            </w:tcBorders>
            <w:shd w:val="clear" w:color="000000" w:fill="F2F2F2"/>
            <w:vAlign w:val="center"/>
          </w:tcPr>
          <w:p w:rsidR="00F804B1" w:rsidRPr="00E17363" w:rsidRDefault="00F804B1" w:rsidP="00F804B1">
            <w:pPr>
              <w:jc w:val="both"/>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 </w:t>
            </w:r>
          </w:p>
        </w:tc>
        <w:tc>
          <w:tcPr>
            <w:tcW w:w="1134" w:type="dxa"/>
            <w:tcBorders>
              <w:top w:val="nil"/>
              <w:left w:val="nil"/>
              <w:bottom w:val="nil"/>
              <w:right w:val="nil"/>
            </w:tcBorders>
            <w:shd w:val="clear" w:color="000000" w:fill="F2F2F2"/>
            <w:vAlign w:val="center"/>
          </w:tcPr>
          <w:p w:rsidR="00F804B1" w:rsidRPr="00E17363" w:rsidRDefault="00F804B1" w:rsidP="00F804B1">
            <w:pPr>
              <w:jc w:val="both"/>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 </w:t>
            </w:r>
          </w:p>
        </w:tc>
        <w:tc>
          <w:tcPr>
            <w:tcW w:w="1134" w:type="dxa"/>
            <w:tcBorders>
              <w:top w:val="nil"/>
              <w:left w:val="nil"/>
              <w:bottom w:val="nil"/>
              <w:right w:val="nil"/>
            </w:tcBorders>
            <w:shd w:val="clear" w:color="000000" w:fill="F2F2F2"/>
            <w:vAlign w:val="center"/>
          </w:tcPr>
          <w:p w:rsidR="00F804B1" w:rsidRPr="00E17363" w:rsidRDefault="00F804B1" w:rsidP="00F804B1">
            <w:pPr>
              <w:jc w:val="both"/>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 </w:t>
            </w:r>
          </w:p>
        </w:tc>
        <w:tc>
          <w:tcPr>
            <w:tcW w:w="1134" w:type="dxa"/>
            <w:tcBorders>
              <w:top w:val="nil"/>
              <w:left w:val="nil"/>
              <w:bottom w:val="nil"/>
              <w:right w:val="nil"/>
            </w:tcBorders>
            <w:shd w:val="clear" w:color="000000" w:fill="F2F2F2"/>
            <w:vAlign w:val="center"/>
          </w:tcPr>
          <w:p w:rsidR="00F804B1" w:rsidRPr="00E17363" w:rsidRDefault="00F804B1" w:rsidP="00F804B1">
            <w:pPr>
              <w:jc w:val="both"/>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 </w:t>
            </w:r>
          </w:p>
        </w:tc>
        <w:tc>
          <w:tcPr>
            <w:tcW w:w="1276" w:type="dxa"/>
            <w:tcBorders>
              <w:top w:val="nil"/>
              <w:left w:val="nil"/>
              <w:bottom w:val="nil"/>
              <w:right w:val="nil"/>
            </w:tcBorders>
            <w:shd w:val="clear" w:color="000000" w:fill="F2F2F2"/>
            <w:vAlign w:val="center"/>
            <w:hideMark/>
          </w:tcPr>
          <w:p w:rsidR="00F804B1" w:rsidRPr="00E17363" w:rsidRDefault="00F804B1" w:rsidP="00F804B1">
            <w:pPr>
              <w:jc w:val="both"/>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 </w:t>
            </w:r>
          </w:p>
        </w:tc>
        <w:tc>
          <w:tcPr>
            <w:tcW w:w="1134" w:type="dxa"/>
            <w:tcBorders>
              <w:top w:val="nil"/>
              <w:left w:val="dotDash" w:sz="4" w:space="0" w:color="auto"/>
              <w:bottom w:val="nil"/>
              <w:right w:val="single" w:sz="12" w:space="0" w:color="auto"/>
            </w:tcBorders>
            <w:shd w:val="clear" w:color="000000" w:fill="F2F2F2"/>
            <w:vAlign w:val="center"/>
            <w:hideMark/>
          </w:tcPr>
          <w:p w:rsidR="00F804B1" w:rsidRPr="00E17363" w:rsidRDefault="00F804B1" w:rsidP="00F804B1">
            <w:pPr>
              <w:jc w:val="both"/>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 </w:t>
            </w:r>
          </w:p>
        </w:tc>
      </w:tr>
      <w:tr w:rsidR="00F804B1" w:rsidRPr="00E17363" w:rsidTr="00267372">
        <w:trPr>
          <w:trHeight w:val="255"/>
        </w:trPr>
        <w:tc>
          <w:tcPr>
            <w:tcW w:w="2679" w:type="dxa"/>
            <w:tcBorders>
              <w:top w:val="nil"/>
              <w:left w:val="single" w:sz="12" w:space="0" w:color="auto"/>
              <w:bottom w:val="nil"/>
              <w:right w:val="single" w:sz="8" w:space="0" w:color="7F7F7F"/>
            </w:tcBorders>
            <w:shd w:val="clear" w:color="auto" w:fill="auto"/>
            <w:vAlign w:val="center"/>
            <w:hideMark/>
          </w:tcPr>
          <w:p w:rsidR="00F804B1" w:rsidRPr="00E17363" w:rsidRDefault="00F804B1" w:rsidP="00F804B1">
            <w:pPr>
              <w:jc w:val="both"/>
              <w:rPr>
                <w:rFonts w:ascii="Calibri" w:eastAsia="Times New Roman" w:hAnsi="Calibri" w:cs="Arial"/>
                <w:b/>
                <w:bCs/>
                <w:sz w:val="20"/>
                <w:szCs w:val="20"/>
                <w:lang w:val="en-AU" w:eastAsia="en-AU"/>
              </w:rPr>
            </w:pPr>
            <w:r w:rsidRPr="00E17363">
              <w:rPr>
                <w:rFonts w:ascii="Calibri" w:eastAsia="Times New Roman" w:hAnsi="Calibri" w:cs="Arial"/>
                <w:b/>
                <w:bCs/>
                <w:sz w:val="20"/>
                <w:szCs w:val="20"/>
                <w:lang w:val="en-AU" w:eastAsia="en-AU"/>
              </w:rPr>
              <w:t>FUA - total</w:t>
            </w:r>
          </w:p>
        </w:tc>
        <w:tc>
          <w:tcPr>
            <w:tcW w:w="1275" w:type="dxa"/>
            <w:tcBorders>
              <w:top w:val="nil"/>
              <w:left w:val="nil"/>
              <w:bottom w:val="nil"/>
              <w:right w:val="nil"/>
            </w:tcBorders>
            <w:vAlign w:val="center"/>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$527.5m</w:t>
            </w:r>
          </w:p>
        </w:tc>
        <w:tc>
          <w:tcPr>
            <w:tcW w:w="1134" w:type="dxa"/>
            <w:tcBorders>
              <w:top w:val="nil"/>
              <w:left w:val="nil"/>
              <w:bottom w:val="nil"/>
              <w:right w:val="nil"/>
            </w:tcBorders>
            <w:vAlign w:val="center"/>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$618.9m</w:t>
            </w:r>
          </w:p>
        </w:tc>
        <w:tc>
          <w:tcPr>
            <w:tcW w:w="1134" w:type="dxa"/>
            <w:tcBorders>
              <w:top w:val="nil"/>
              <w:left w:val="nil"/>
              <w:bottom w:val="nil"/>
              <w:right w:val="nil"/>
            </w:tcBorders>
            <w:vAlign w:val="center"/>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$730.2m</w:t>
            </w:r>
          </w:p>
        </w:tc>
        <w:tc>
          <w:tcPr>
            <w:tcW w:w="1134" w:type="dxa"/>
            <w:tcBorders>
              <w:top w:val="nil"/>
              <w:left w:val="nil"/>
              <w:bottom w:val="nil"/>
              <w:right w:val="nil"/>
            </w:tcBorders>
            <w:vAlign w:val="center"/>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$853.8m</w:t>
            </w:r>
          </w:p>
        </w:tc>
        <w:tc>
          <w:tcPr>
            <w:tcW w:w="1276" w:type="dxa"/>
            <w:tcBorders>
              <w:top w:val="nil"/>
              <w:left w:val="nil"/>
              <w:bottom w:val="nil"/>
              <w:right w:val="nil"/>
            </w:tcBorders>
            <w:shd w:val="clear" w:color="auto" w:fill="auto"/>
            <w:vAlign w:val="center"/>
            <w:hideMark/>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$1,030.8m</w:t>
            </w:r>
          </w:p>
        </w:tc>
        <w:tc>
          <w:tcPr>
            <w:tcW w:w="1134" w:type="dxa"/>
            <w:tcBorders>
              <w:top w:val="nil"/>
              <w:left w:val="dotDash" w:sz="4" w:space="0" w:color="auto"/>
              <w:bottom w:val="nil"/>
              <w:right w:val="single" w:sz="12" w:space="0" w:color="auto"/>
            </w:tcBorders>
            <w:shd w:val="clear" w:color="auto" w:fill="auto"/>
            <w:vAlign w:val="center"/>
            <w:hideMark/>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95.4%</w:t>
            </w:r>
          </w:p>
        </w:tc>
      </w:tr>
      <w:tr w:rsidR="00F804B1" w:rsidRPr="00E17363" w:rsidTr="00267372">
        <w:trPr>
          <w:trHeight w:val="255"/>
        </w:trPr>
        <w:tc>
          <w:tcPr>
            <w:tcW w:w="2679" w:type="dxa"/>
            <w:tcBorders>
              <w:top w:val="nil"/>
              <w:left w:val="single" w:sz="12" w:space="0" w:color="auto"/>
              <w:bottom w:val="nil"/>
              <w:right w:val="single" w:sz="8" w:space="0" w:color="7F7F7F"/>
            </w:tcBorders>
            <w:shd w:val="clear" w:color="000000" w:fill="F2F2F2"/>
            <w:vAlign w:val="center"/>
            <w:hideMark/>
          </w:tcPr>
          <w:p w:rsidR="00F804B1" w:rsidRPr="00E17363" w:rsidRDefault="00F804B1" w:rsidP="00F804B1">
            <w:pPr>
              <w:jc w:val="both"/>
              <w:rPr>
                <w:rFonts w:ascii="Calibri" w:eastAsia="Times New Roman" w:hAnsi="Calibri" w:cs="Arial"/>
                <w:b/>
                <w:bCs/>
                <w:sz w:val="20"/>
                <w:szCs w:val="20"/>
                <w:lang w:val="en-AU" w:eastAsia="en-AU"/>
              </w:rPr>
            </w:pPr>
            <w:r w:rsidRPr="00E17363">
              <w:rPr>
                <w:rFonts w:ascii="Calibri" w:eastAsia="Times New Roman" w:hAnsi="Calibri" w:cs="Arial"/>
                <w:b/>
                <w:bCs/>
                <w:sz w:val="20"/>
                <w:szCs w:val="20"/>
                <w:lang w:val="en-AU" w:eastAsia="en-AU"/>
              </w:rPr>
              <w:t>Net Fund Inflows (</w:t>
            </w:r>
            <w:proofErr w:type="spellStart"/>
            <w:r w:rsidRPr="00E17363">
              <w:rPr>
                <w:rFonts w:ascii="Calibri" w:eastAsia="Times New Roman" w:hAnsi="Calibri" w:cs="Arial"/>
                <w:b/>
                <w:bCs/>
                <w:sz w:val="20"/>
                <w:szCs w:val="20"/>
                <w:lang w:val="en-AU" w:eastAsia="en-AU"/>
              </w:rPr>
              <w:t>Qtr</w:t>
            </w:r>
            <w:proofErr w:type="spellEnd"/>
            <w:r w:rsidRPr="00E17363">
              <w:rPr>
                <w:rFonts w:ascii="Calibri" w:eastAsia="Times New Roman" w:hAnsi="Calibri" w:cs="Arial"/>
                <w:b/>
                <w:bCs/>
                <w:sz w:val="20"/>
                <w:szCs w:val="20"/>
                <w:lang w:val="en-AU" w:eastAsia="en-AU"/>
              </w:rPr>
              <w:t>)*</w:t>
            </w:r>
          </w:p>
        </w:tc>
        <w:tc>
          <w:tcPr>
            <w:tcW w:w="1275" w:type="dxa"/>
            <w:tcBorders>
              <w:top w:val="nil"/>
              <w:left w:val="nil"/>
              <w:bottom w:val="nil"/>
              <w:right w:val="nil"/>
            </w:tcBorders>
            <w:shd w:val="clear" w:color="000000" w:fill="F2F2F2"/>
            <w:vAlign w:val="center"/>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$106.5m</w:t>
            </w:r>
          </w:p>
        </w:tc>
        <w:tc>
          <w:tcPr>
            <w:tcW w:w="1134" w:type="dxa"/>
            <w:tcBorders>
              <w:top w:val="nil"/>
              <w:left w:val="nil"/>
              <w:bottom w:val="nil"/>
              <w:right w:val="nil"/>
            </w:tcBorders>
            <w:shd w:val="clear" w:color="000000" w:fill="F2F2F2"/>
            <w:vAlign w:val="center"/>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$60.8m</w:t>
            </w:r>
          </w:p>
        </w:tc>
        <w:tc>
          <w:tcPr>
            <w:tcW w:w="1134" w:type="dxa"/>
            <w:tcBorders>
              <w:top w:val="nil"/>
              <w:left w:val="nil"/>
              <w:bottom w:val="nil"/>
              <w:right w:val="nil"/>
            </w:tcBorders>
            <w:shd w:val="clear" w:color="000000" w:fill="F2F2F2"/>
            <w:vAlign w:val="center"/>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$108.7m</w:t>
            </w:r>
          </w:p>
        </w:tc>
        <w:tc>
          <w:tcPr>
            <w:tcW w:w="1134" w:type="dxa"/>
            <w:tcBorders>
              <w:top w:val="nil"/>
              <w:left w:val="nil"/>
              <w:bottom w:val="nil"/>
              <w:right w:val="nil"/>
            </w:tcBorders>
            <w:shd w:val="clear" w:color="000000" w:fill="F2F2F2"/>
            <w:vAlign w:val="center"/>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$117.7m</w:t>
            </w:r>
          </w:p>
        </w:tc>
        <w:tc>
          <w:tcPr>
            <w:tcW w:w="1276" w:type="dxa"/>
            <w:tcBorders>
              <w:top w:val="nil"/>
              <w:left w:val="nil"/>
              <w:bottom w:val="nil"/>
              <w:right w:val="nil"/>
            </w:tcBorders>
            <w:shd w:val="clear" w:color="000000" w:fill="F2F2F2"/>
            <w:vAlign w:val="center"/>
            <w:hideMark/>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$171</w:t>
            </w:r>
            <w:r>
              <w:rPr>
                <w:rFonts w:ascii="Calibri" w:eastAsia="Times New Roman" w:hAnsi="Calibri" w:cs="Arial"/>
                <w:sz w:val="20"/>
                <w:szCs w:val="20"/>
                <w:lang w:val="en-AU" w:eastAsia="en-AU"/>
              </w:rPr>
              <w:t>.0</w:t>
            </w:r>
            <w:r w:rsidRPr="00E17363">
              <w:rPr>
                <w:rFonts w:ascii="Calibri" w:eastAsia="Times New Roman" w:hAnsi="Calibri" w:cs="Arial"/>
                <w:sz w:val="20"/>
                <w:szCs w:val="20"/>
                <w:lang w:val="en-AU" w:eastAsia="en-AU"/>
              </w:rPr>
              <w:t>m</w:t>
            </w:r>
          </w:p>
        </w:tc>
        <w:tc>
          <w:tcPr>
            <w:tcW w:w="1134" w:type="dxa"/>
            <w:tcBorders>
              <w:top w:val="nil"/>
              <w:left w:val="dotDash" w:sz="4" w:space="0" w:color="auto"/>
              <w:bottom w:val="nil"/>
              <w:right w:val="single" w:sz="12" w:space="0" w:color="auto"/>
            </w:tcBorders>
            <w:shd w:val="clear" w:color="auto" w:fill="auto"/>
            <w:vAlign w:val="center"/>
            <w:hideMark/>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60.6%</w:t>
            </w:r>
          </w:p>
        </w:tc>
      </w:tr>
      <w:tr w:rsidR="00F804B1" w:rsidRPr="00E17363" w:rsidTr="00267372">
        <w:trPr>
          <w:trHeight w:val="255"/>
        </w:trPr>
        <w:tc>
          <w:tcPr>
            <w:tcW w:w="2679" w:type="dxa"/>
            <w:tcBorders>
              <w:top w:val="nil"/>
              <w:left w:val="single" w:sz="12" w:space="0" w:color="auto"/>
              <w:bottom w:val="nil"/>
              <w:right w:val="single" w:sz="8" w:space="0" w:color="7F7F7F"/>
            </w:tcBorders>
            <w:shd w:val="clear" w:color="000000" w:fill="F2F2F2"/>
            <w:vAlign w:val="center"/>
            <w:hideMark/>
          </w:tcPr>
          <w:p w:rsidR="00F804B1" w:rsidRPr="00E17363" w:rsidRDefault="00F804B1" w:rsidP="00F804B1">
            <w:pPr>
              <w:jc w:val="both"/>
              <w:rPr>
                <w:rFonts w:ascii="Calibri" w:eastAsia="Times New Roman" w:hAnsi="Calibri" w:cs="Arial"/>
                <w:b/>
                <w:bCs/>
                <w:sz w:val="20"/>
                <w:szCs w:val="20"/>
                <w:lang w:val="en-AU" w:eastAsia="en-AU"/>
              </w:rPr>
            </w:pPr>
            <w:r w:rsidRPr="00E17363">
              <w:rPr>
                <w:rFonts w:ascii="Calibri" w:eastAsia="Times New Roman" w:hAnsi="Calibri" w:cs="Arial"/>
                <w:b/>
                <w:bCs/>
                <w:sz w:val="20"/>
                <w:szCs w:val="20"/>
                <w:lang w:val="en-AU" w:eastAsia="en-AU"/>
              </w:rPr>
              <w:t>Gross inflows (</w:t>
            </w:r>
            <w:proofErr w:type="spellStart"/>
            <w:r w:rsidRPr="00E17363">
              <w:rPr>
                <w:rFonts w:ascii="Calibri" w:eastAsia="Times New Roman" w:hAnsi="Calibri" w:cs="Arial"/>
                <w:b/>
                <w:bCs/>
                <w:sz w:val="20"/>
                <w:szCs w:val="20"/>
                <w:lang w:val="en-AU" w:eastAsia="en-AU"/>
              </w:rPr>
              <w:t>Qtr</w:t>
            </w:r>
            <w:proofErr w:type="spellEnd"/>
            <w:r w:rsidRPr="00E17363">
              <w:rPr>
                <w:rFonts w:ascii="Calibri" w:eastAsia="Times New Roman" w:hAnsi="Calibri" w:cs="Arial"/>
                <w:b/>
                <w:bCs/>
                <w:sz w:val="20"/>
                <w:szCs w:val="20"/>
                <w:lang w:val="en-AU" w:eastAsia="en-AU"/>
              </w:rPr>
              <w:t>)</w:t>
            </w:r>
          </w:p>
        </w:tc>
        <w:tc>
          <w:tcPr>
            <w:tcW w:w="1275" w:type="dxa"/>
            <w:tcBorders>
              <w:top w:val="nil"/>
              <w:left w:val="nil"/>
              <w:bottom w:val="nil"/>
              <w:right w:val="nil"/>
            </w:tcBorders>
            <w:vAlign w:val="center"/>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$120.5m</w:t>
            </w:r>
          </w:p>
        </w:tc>
        <w:tc>
          <w:tcPr>
            <w:tcW w:w="1134" w:type="dxa"/>
            <w:tcBorders>
              <w:top w:val="nil"/>
              <w:left w:val="nil"/>
              <w:bottom w:val="nil"/>
              <w:right w:val="nil"/>
            </w:tcBorders>
            <w:vAlign w:val="center"/>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$80.0m</w:t>
            </w:r>
          </w:p>
        </w:tc>
        <w:tc>
          <w:tcPr>
            <w:tcW w:w="1134" w:type="dxa"/>
            <w:tcBorders>
              <w:top w:val="nil"/>
              <w:left w:val="nil"/>
              <w:bottom w:val="nil"/>
              <w:right w:val="nil"/>
            </w:tcBorders>
            <w:vAlign w:val="center"/>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$126.6m</w:t>
            </w:r>
          </w:p>
        </w:tc>
        <w:tc>
          <w:tcPr>
            <w:tcW w:w="1134" w:type="dxa"/>
            <w:tcBorders>
              <w:top w:val="nil"/>
              <w:left w:val="nil"/>
              <w:bottom w:val="nil"/>
              <w:right w:val="nil"/>
            </w:tcBorders>
            <w:vAlign w:val="center"/>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$166.8m</w:t>
            </w:r>
          </w:p>
        </w:tc>
        <w:tc>
          <w:tcPr>
            <w:tcW w:w="1276" w:type="dxa"/>
            <w:tcBorders>
              <w:top w:val="nil"/>
              <w:left w:val="nil"/>
              <w:bottom w:val="nil"/>
              <w:right w:val="nil"/>
            </w:tcBorders>
            <w:shd w:val="clear" w:color="auto" w:fill="auto"/>
            <w:vAlign w:val="center"/>
            <w:hideMark/>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$199.4m</w:t>
            </w:r>
          </w:p>
        </w:tc>
        <w:tc>
          <w:tcPr>
            <w:tcW w:w="1134" w:type="dxa"/>
            <w:tcBorders>
              <w:top w:val="nil"/>
              <w:left w:val="dotDash" w:sz="4" w:space="0" w:color="auto"/>
              <w:bottom w:val="nil"/>
              <w:right w:val="single" w:sz="12" w:space="0" w:color="auto"/>
            </w:tcBorders>
            <w:shd w:val="clear" w:color="auto" w:fill="auto"/>
            <w:vAlign w:val="center"/>
            <w:hideMark/>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65.5%</w:t>
            </w:r>
          </w:p>
        </w:tc>
      </w:tr>
      <w:tr w:rsidR="00F804B1" w:rsidRPr="00E17363" w:rsidTr="00267372">
        <w:trPr>
          <w:trHeight w:val="255"/>
        </w:trPr>
        <w:tc>
          <w:tcPr>
            <w:tcW w:w="2679" w:type="dxa"/>
            <w:tcBorders>
              <w:top w:val="nil"/>
              <w:left w:val="single" w:sz="12" w:space="0" w:color="auto"/>
              <w:bottom w:val="nil"/>
              <w:right w:val="single" w:sz="8" w:space="0" w:color="7F7F7F"/>
            </w:tcBorders>
            <w:shd w:val="clear" w:color="000000" w:fill="F2F2F2"/>
            <w:vAlign w:val="center"/>
            <w:hideMark/>
          </w:tcPr>
          <w:p w:rsidR="00F804B1" w:rsidRPr="00E17363" w:rsidRDefault="00F804B1" w:rsidP="00F804B1">
            <w:pPr>
              <w:jc w:val="both"/>
              <w:rPr>
                <w:rFonts w:ascii="Calibri" w:eastAsia="Times New Roman" w:hAnsi="Calibri" w:cs="Arial"/>
                <w:b/>
                <w:bCs/>
                <w:sz w:val="20"/>
                <w:szCs w:val="20"/>
                <w:lang w:val="en-AU" w:eastAsia="en-AU"/>
              </w:rPr>
            </w:pPr>
            <w:r w:rsidRPr="00E17363">
              <w:rPr>
                <w:rFonts w:ascii="Calibri" w:eastAsia="Times New Roman" w:hAnsi="Calibri" w:cs="Arial"/>
                <w:b/>
                <w:bCs/>
                <w:sz w:val="20"/>
                <w:szCs w:val="20"/>
                <w:lang w:val="en-AU" w:eastAsia="en-AU"/>
              </w:rPr>
              <w:t> </w:t>
            </w:r>
          </w:p>
        </w:tc>
        <w:tc>
          <w:tcPr>
            <w:tcW w:w="1275" w:type="dxa"/>
            <w:tcBorders>
              <w:top w:val="nil"/>
              <w:left w:val="nil"/>
              <w:bottom w:val="nil"/>
              <w:right w:val="nil"/>
            </w:tcBorders>
            <w:vAlign w:val="center"/>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 </w:t>
            </w:r>
          </w:p>
        </w:tc>
        <w:tc>
          <w:tcPr>
            <w:tcW w:w="1134" w:type="dxa"/>
            <w:tcBorders>
              <w:top w:val="nil"/>
              <w:left w:val="nil"/>
              <w:bottom w:val="nil"/>
              <w:right w:val="nil"/>
            </w:tcBorders>
            <w:vAlign w:val="center"/>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 </w:t>
            </w:r>
          </w:p>
        </w:tc>
        <w:tc>
          <w:tcPr>
            <w:tcW w:w="1134" w:type="dxa"/>
            <w:tcBorders>
              <w:top w:val="nil"/>
              <w:left w:val="nil"/>
              <w:bottom w:val="nil"/>
              <w:right w:val="nil"/>
            </w:tcBorders>
            <w:vAlign w:val="center"/>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 </w:t>
            </w:r>
          </w:p>
        </w:tc>
        <w:tc>
          <w:tcPr>
            <w:tcW w:w="1134" w:type="dxa"/>
            <w:tcBorders>
              <w:top w:val="nil"/>
              <w:left w:val="nil"/>
              <w:bottom w:val="nil"/>
              <w:right w:val="nil"/>
            </w:tcBorders>
            <w:vAlign w:val="center"/>
          </w:tcPr>
          <w:p w:rsidR="00F804B1" w:rsidRPr="00E17363" w:rsidRDefault="00F804B1" w:rsidP="00F804B1">
            <w:pPr>
              <w:jc w:val="center"/>
              <w:rPr>
                <w:rFonts w:ascii="Times New Roman" w:eastAsia="Times New Roman" w:hAnsi="Times New Roman"/>
                <w:sz w:val="20"/>
                <w:szCs w:val="20"/>
                <w:lang w:val="en-AU" w:eastAsia="en-AU"/>
              </w:rPr>
            </w:pPr>
          </w:p>
        </w:tc>
        <w:tc>
          <w:tcPr>
            <w:tcW w:w="1276" w:type="dxa"/>
            <w:tcBorders>
              <w:top w:val="nil"/>
              <w:left w:val="nil"/>
              <w:bottom w:val="nil"/>
              <w:right w:val="nil"/>
            </w:tcBorders>
            <w:shd w:val="clear" w:color="auto" w:fill="auto"/>
            <w:vAlign w:val="center"/>
            <w:hideMark/>
          </w:tcPr>
          <w:p w:rsidR="00F804B1" w:rsidRPr="00E17363" w:rsidRDefault="00F804B1" w:rsidP="00F804B1">
            <w:pPr>
              <w:jc w:val="both"/>
              <w:rPr>
                <w:rFonts w:ascii="Calibri" w:eastAsia="Times New Roman" w:hAnsi="Calibri" w:cs="Arial"/>
                <w:b/>
                <w:bCs/>
                <w:sz w:val="20"/>
                <w:szCs w:val="20"/>
                <w:lang w:val="en-AU" w:eastAsia="en-AU"/>
              </w:rPr>
            </w:pPr>
          </w:p>
        </w:tc>
        <w:tc>
          <w:tcPr>
            <w:tcW w:w="1134" w:type="dxa"/>
            <w:tcBorders>
              <w:top w:val="nil"/>
              <w:left w:val="dotDash" w:sz="4" w:space="0" w:color="auto"/>
              <w:bottom w:val="nil"/>
              <w:right w:val="single" w:sz="12" w:space="0" w:color="auto"/>
            </w:tcBorders>
            <w:shd w:val="clear" w:color="auto" w:fill="auto"/>
            <w:vAlign w:val="center"/>
            <w:hideMark/>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 </w:t>
            </w:r>
          </w:p>
        </w:tc>
      </w:tr>
      <w:tr w:rsidR="00F804B1" w:rsidRPr="00E17363" w:rsidTr="00267372">
        <w:trPr>
          <w:trHeight w:val="270"/>
        </w:trPr>
        <w:tc>
          <w:tcPr>
            <w:tcW w:w="2679" w:type="dxa"/>
            <w:tcBorders>
              <w:top w:val="nil"/>
              <w:left w:val="single" w:sz="12" w:space="0" w:color="auto"/>
              <w:bottom w:val="single" w:sz="12" w:space="0" w:color="auto"/>
              <w:right w:val="single" w:sz="8" w:space="0" w:color="7F7F7F"/>
            </w:tcBorders>
            <w:shd w:val="clear" w:color="000000" w:fill="F2F2F2"/>
            <w:vAlign w:val="center"/>
            <w:hideMark/>
          </w:tcPr>
          <w:p w:rsidR="00F804B1" w:rsidRPr="00E17363" w:rsidRDefault="00F804B1" w:rsidP="00F804B1">
            <w:pPr>
              <w:jc w:val="both"/>
              <w:rPr>
                <w:rFonts w:ascii="Calibri" w:eastAsia="Times New Roman" w:hAnsi="Calibri" w:cs="Arial"/>
                <w:b/>
                <w:bCs/>
                <w:sz w:val="20"/>
                <w:szCs w:val="20"/>
                <w:lang w:val="en-AU" w:eastAsia="en-AU"/>
              </w:rPr>
            </w:pPr>
            <w:r w:rsidRPr="00E17363">
              <w:rPr>
                <w:rFonts w:ascii="Calibri" w:eastAsia="Times New Roman" w:hAnsi="Calibri" w:cs="Arial"/>
                <w:b/>
                <w:bCs/>
                <w:sz w:val="20"/>
                <w:szCs w:val="20"/>
                <w:lang w:val="en-AU" w:eastAsia="en-AU"/>
              </w:rPr>
              <w:t xml:space="preserve">Number of </w:t>
            </w:r>
            <w:r>
              <w:rPr>
                <w:rFonts w:ascii="Calibri" w:eastAsia="Times New Roman" w:hAnsi="Calibri" w:cs="Arial"/>
                <w:b/>
                <w:bCs/>
                <w:sz w:val="20"/>
                <w:szCs w:val="20"/>
                <w:lang w:val="en-AU" w:eastAsia="en-AU"/>
              </w:rPr>
              <w:t xml:space="preserve">active </w:t>
            </w:r>
            <w:r w:rsidRPr="00E17363">
              <w:rPr>
                <w:rFonts w:ascii="Calibri" w:eastAsia="Times New Roman" w:hAnsi="Calibri" w:cs="Arial"/>
                <w:b/>
                <w:bCs/>
                <w:sz w:val="20"/>
                <w:szCs w:val="20"/>
                <w:lang w:val="en-AU" w:eastAsia="en-AU"/>
              </w:rPr>
              <w:t>Advisers</w:t>
            </w:r>
          </w:p>
        </w:tc>
        <w:tc>
          <w:tcPr>
            <w:tcW w:w="1275" w:type="dxa"/>
            <w:tcBorders>
              <w:top w:val="nil"/>
              <w:left w:val="nil"/>
              <w:bottom w:val="single" w:sz="12" w:space="0" w:color="auto"/>
              <w:right w:val="nil"/>
            </w:tcBorders>
            <w:shd w:val="clear" w:color="000000" w:fill="F2F2F2"/>
            <w:vAlign w:val="center"/>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278</w:t>
            </w:r>
          </w:p>
        </w:tc>
        <w:tc>
          <w:tcPr>
            <w:tcW w:w="1134" w:type="dxa"/>
            <w:tcBorders>
              <w:top w:val="nil"/>
              <w:left w:val="nil"/>
              <w:bottom w:val="single" w:sz="12" w:space="0" w:color="auto"/>
              <w:right w:val="nil"/>
            </w:tcBorders>
            <w:shd w:val="clear" w:color="000000" w:fill="F2F2F2"/>
            <w:vAlign w:val="center"/>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307</w:t>
            </w:r>
          </w:p>
        </w:tc>
        <w:tc>
          <w:tcPr>
            <w:tcW w:w="1134" w:type="dxa"/>
            <w:tcBorders>
              <w:top w:val="nil"/>
              <w:left w:val="nil"/>
              <w:bottom w:val="single" w:sz="12" w:space="0" w:color="auto"/>
              <w:right w:val="nil"/>
            </w:tcBorders>
            <w:shd w:val="clear" w:color="000000" w:fill="F2F2F2"/>
            <w:vAlign w:val="center"/>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314</w:t>
            </w:r>
          </w:p>
        </w:tc>
        <w:tc>
          <w:tcPr>
            <w:tcW w:w="1134" w:type="dxa"/>
            <w:tcBorders>
              <w:top w:val="nil"/>
              <w:left w:val="nil"/>
              <w:bottom w:val="single" w:sz="12" w:space="0" w:color="auto"/>
              <w:right w:val="nil"/>
            </w:tcBorders>
            <w:shd w:val="clear" w:color="000000" w:fill="F2F2F2"/>
            <w:vAlign w:val="center"/>
          </w:tcPr>
          <w:p w:rsidR="00F804B1" w:rsidRPr="00E17363" w:rsidRDefault="00F804B1" w:rsidP="00F804B1">
            <w:pPr>
              <w:jc w:val="center"/>
              <w:rPr>
                <w:rFonts w:ascii="Calibri" w:eastAsia="Times New Roman" w:hAnsi="Calibri" w:cs="Arial"/>
                <w:sz w:val="20"/>
                <w:szCs w:val="20"/>
                <w:lang w:val="en-AU" w:eastAsia="en-AU"/>
              </w:rPr>
            </w:pPr>
            <w:r w:rsidRPr="00E17363">
              <w:rPr>
                <w:rFonts w:ascii="Calibri" w:eastAsia="Times New Roman" w:hAnsi="Calibri" w:cs="Arial"/>
                <w:sz w:val="20"/>
                <w:szCs w:val="20"/>
                <w:lang w:val="en-AU" w:eastAsia="en-AU"/>
              </w:rPr>
              <w:t>345</w:t>
            </w:r>
          </w:p>
        </w:tc>
        <w:tc>
          <w:tcPr>
            <w:tcW w:w="1276" w:type="dxa"/>
            <w:tcBorders>
              <w:top w:val="nil"/>
              <w:left w:val="nil"/>
              <w:bottom w:val="single" w:sz="12" w:space="0" w:color="auto"/>
              <w:right w:val="nil"/>
            </w:tcBorders>
            <w:shd w:val="clear" w:color="000000" w:fill="F2F2F2"/>
            <w:vAlign w:val="center"/>
            <w:hideMark/>
          </w:tcPr>
          <w:p w:rsidR="00F804B1" w:rsidRPr="00E17363" w:rsidRDefault="00F804B1" w:rsidP="00F804B1">
            <w:pPr>
              <w:jc w:val="center"/>
              <w:rPr>
                <w:rFonts w:ascii="Calibri" w:eastAsia="Times New Roman" w:hAnsi="Calibri" w:cs="Arial"/>
                <w:sz w:val="20"/>
                <w:szCs w:val="20"/>
                <w:lang w:val="en-AU" w:eastAsia="en-AU"/>
              </w:rPr>
            </w:pPr>
            <w:r>
              <w:rPr>
                <w:rFonts w:ascii="Calibri" w:eastAsia="Times New Roman" w:hAnsi="Calibri" w:cs="Arial"/>
                <w:sz w:val="20"/>
                <w:szCs w:val="20"/>
                <w:lang w:val="en-AU" w:eastAsia="en-AU"/>
              </w:rPr>
              <w:t>383</w:t>
            </w:r>
          </w:p>
        </w:tc>
        <w:tc>
          <w:tcPr>
            <w:tcW w:w="1134" w:type="dxa"/>
            <w:tcBorders>
              <w:top w:val="nil"/>
              <w:left w:val="dotDash" w:sz="4" w:space="0" w:color="auto"/>
              <w:bottom w:val="single" w:sz="12" w:space="0" w:color="auto"/>
              <w:right w:val="single" w:sz="12" w:space="0" w:color="auto"/>
            </w:tcBorders>
            <w:shd w:val="clear" w:color="000000" w:fill="F2F2F2"/>
            <w:vAlign w:val="center"/>
            <w:hideMark/>
          </w:tcPr>
          <w:p w:rsidR="00F804B1" w:rsidRPr="00E17363" w:rsidRDefault="00F804B1" w:rsidP="00F804B1">
            <w:pPr>
              <w:jc w:val="center"/>
              <w:rPr>
                <w:rFonts w:ascii="Calibri" w:eastAsia="Times New Roman" w:hAnsi="Calibri" w:cs="Arial"/>
                <w:sz w:val="20"/>
                <w:szCs w:val="20"/>
                <w:lang w:val="en-AU" w:eastAsia="en-AU"/>
              </w:rPr>
            </w:pPr>
            <w:r>
              <w:rPr>
                <w:rFonts w:ascii="Calibri" w:eastAsia="Times New Roman" w:hAnsi="Calibri" w:cs="Arial"/>
                <w:sz w:val="20"/>
                <w:szCs w:val="20"/>
                <w:lang w:val="en-AU" w:eastAsia="en-AU"/>
              </w:rPr>
              <w:t>37.8</w:t>
            </w:r>
            <w:r w:rsidRPr="00E17363">
              <w:rPr>
                <w:rFonts w:ascii="Calibri" w:eastAsia="Times New Roman" w:hAnsi="Calibri" w:cs="Arial"/>
                <w:sz w:val="20"/>
                <w:szCs w:val="20"/>
                <w:lang w:val="en-AU" w:eastAsia="en-AU"/>
              </w:rPr>
              <w:t>%</w:t>
            </w:r>
          </w:p>
        </w:tc>
      </w:tr>
    </w:tbl>
    <w:p w:rsidR="00AC3567" w:rsidRPr="000147AE" w:rsidRDefault="002915A9" w:rsidP="00AC3567">
      <w:pPr>
        <w:jc w:val="both"/>
        <w:rPr>
          <w:rFonts w:ascii="Calibri" w:eastAsia="Times New Roman" w:hAnsi="Calibri" w:cs="Arial"/>
          <w:sz w:val="16"/>
          <w:szCs w:val="20"/>
          <w:lang w:val="en-AU" w:eastAsia="en-AU"/>
        </w:rPr>
      </w:pPr>
      <w:r w:rsidRPr="00C034C3">
        <w:rPr>
          <w:rFonts w:ascii="Arial" w:eastAsia="Times New Roman" w:hAnsi="Arial" w:cs="Arial"/>
          <w:sz w:val="16"/>
          <w:szCs w:val="20"/>
          <w:lang w:val="en-AU" w:eastAsia="en-AU"/>
        </w:rPr>
        <w:t xml:space="preserve">* </w:t>
      </w:r>
      <w:r w:rsidRPr="000147AE">
        <w:rPr>
          <w:rFonts w:ascii="Calibri" w:eastAsia="Times New Roman" w:hAnsi="Calibri" w:cs="Arial"/>
          <w:sz w:val="16"/>
          <w:szCs w:val="20"/>
          <w:lang w:val="en-AU" w:eastAsia="en-AU"/>
        </w:rPr>
        <w:t>A one-off, non-recurring outflow of $20m in June contributed to the variance between cash inflows and netflows for the June ’14 quarter.</w:t>
      </w:r>
    </w:p>
    <w:p w:rsidR="00243066" w:rsidRPr="000147AE" w:rsidRDefault="00AC3567" w:rsidP="00243066">
      <w:pPr>
        <w:autoSpaceDE w:val="0"/>
        <w:autoSpaceDN w:val="0"/>
        <w:adjustRightInd w:val="0"/>
        <w:jc w:val="both"/>
        <w:rPr>
          <w:rFonts w:ascii="Calibri" w:hAnsi="Calibri" w:cs="Calibri,Bold"/>
          <w:bCs/>
          <w:sz w:val="16"/>
          <w:szCs w:val="22"/>
          <w:lang w:val="en-AU" w:eastAsia="zh-TW"/>
        </w:rPr>
      </w:pPr>
      <w:r w:rsidRPr="000147AE">
        <w:rPr>
          <w:rFonts w:ascii="Calibri" w:eastAsia="Times New Roman" w:hAnsi="Calibri" w:cs="Arial"/>
          <w:sz w:val="18"/>
          <w:szCs w:val="20"/>
          <w:lang w:val="x-none" w:eastAsia="en-AU"/>
        </w:rPr>
        <w:t xml:space="preserve"> </w:t>
      </w:r>
      <w:r w:rsidR="00243066" w:rsidRPr="000147AE">
        <w:rPr>
          <w:rFonts w:ascii="Calibri" w:hAnsi="Calibri" w:cs="Calibri,Bold"/>
          <w:bCs/>
          <w:sz w:val="16"/>
          <w:szCs w:val="22"/>
          <w:lang w:val="en-AU" w:eastAsia="zh-TW"/>
        </w:rPr>
        <w:t xml:space="preserve">**TTM </w:t>
      </w:r>
      <w:r w:rsidR="00DF63D6">
        <w:rPr>
          <w:rFonts w:ascii="Calibri" w:hAnsi="Calibri" w:cs="Calibri,Bold"/>
          <w:bCs/>
          <w:sz w:val="16"/>
          <w:szCs w:val="22"/>
          <w:lang w:val="en-AU" w:eastAsia="zh-TW"/>
        </w:rPr>
        <w:t>–</w:t>
      </w:r>
      <w:r w:rsidR="00243066" w:rsidRPr="000147AE">
        <w:rPr>
          <w:rFonts w:ascii="Calibri" w:hAnsi="Calibri" w:cs="Calibri,Bold"/>
          <w:bCs/>
          <w:sz w:val="16"/>
          <w:szCs w:val="22"/>
          <w:lang w:val="en-AU" w:eastAsia="zh-TW"/>
        </w:rPr>
        <w:t xml:space="preserve"> </w:t>
      </w:r>
      <w:r w:rsidR="00DF63D6">
        <w:rPr>
          <w:rFonts w:ascii="Calibri" w:hAnsi="Calibri" w:cs="Calibri,Bold"/>
          <w:bCs/>
          <w:sz w:val="16"/>
          <w:szCs w:val="22"/>
          <w:lang w:val="en-AU" w:eastAsia="zh-TW"/>
        </w:rPr>
        <w:t xml:space="preserve">percentage increase on </w:t>
      </w:r>
      <w:r w:rsidR="00243066" w:rsidRPr="000147AE">
        <w:rPr>
          <w:rFonts w:ascii="Calibri" w:hAnsi="Calibri" w:cs="Calibri,Bold"/>
          <w:bCs/>
          <w:sz w:val="16"/>
          <w:szCs w:val="22"/>
          <w:lang w:val="en-AU" w:eastAsia="zh-TW"/>
        </w:rPr>
        <w:t>Trailing 12 months</w:t>
      </w:r>
    </w:p>
    <w:p w:rsidR="00AC3567" w:rsidRPr="000147AE" w:rsidRDefault="0062214C" w:rsidP="00AC3567">
      <w:pPr>
        <w:jc w:val="both"/>
        <w:rPr>
          <w:rFonts w:ascii="Calibri" w:hAnsi="Calibri" w:cs="Calibri,Bold"/>
          <w:bCs/>
          <w:sz w:val="16"/>
          <w:szCs w:val="22"/>
          <w:lang w:val="en-AU" w:eastAsia="zh-TW"/>
        </w:rPr>
      </w:pPr>
      <w:r w:rsidRPr="000147AE">
        <w:rPr>
          <w:rFonts w:ascii="Calibri" w:eastAsia="Times New Roman" w:hAnsi="Calibri" w:cs="Arial"/>
          <w:sz w:val="14"/>
          <w:szCs w:val="20"/>
          <w:lang w:val="x-none" w:eastAsia="en-AU"/>
        </w:rPr>
        <w:endnoteReference w:customMarkFollows="1" w:id="1"/>
        <w:t xml:space="preserve">[1] </w:t>
      </w:r>
      <w:r w:rsidR="00AC3567" w:rsidRPr="000147AE">
        <w:rPr>
          <w:rFonts w:ascii="Calibri" w:hAnsi="Calibri" w:cs="Calibri,Bold"/>
          <w:bCs/>
          <w:sz w:val="16"/>
          <w:szCs w:val="22"/>
          <w:lang w:val="en-AU" w:eastAsia="zh-TW"/>
        </w:rPr>
        <w:t>Statistics are</w:t>
      </w:r>
      <w:r w:rsidR="00850D84" w:rsidRPr="000147AE">
        <w:rPr>
          <w:rFonts w:ascii="Calibri" w:hAnsi="Calibri" w:cs="Calibri,Bold"/>
          <w:bCs/>
          <w:sz w:val="16"/>
          <w:szCs w:val="22"/>
          <w:lang w:val="en-AU" w:eastAsia="zh-TW"/>
        </w:rPr>
        <w:t xml:space="preserve"> for each quarter and are</w:t>
      </w:r>
      <w:r w:rsidR="00AC3567" w:rsidRPr="000147AE">
        <w:rPr>
          <w:rFonts w:ascii="Calibri" w:hAnsi="Calibri" w:cs="Calibri,Bold"/>
          <w:bCs/>
          <w:sz w:val="16"/>
          <w:szCs w:val="22"/>
          <w:lang w:val="en-AU" w:eastAsia="zh-TW"/>
        </w:rPr>
        <w:t xml:space="preserve"> approximate, have been rounded and are not audi</w:t>
      </w:r>
      <w:r w:rsidR="00243066" w:rsidRPr="000147AE">
        <w:rPr>
          <w:rFonts w:ascii="Calibri" w:hAnsi="Calibri" w:cs="Calibri,Bold"/>
          <w:bCs/>
          <w:sz w:val="16"/>
          <w:szCs w:val="22"/>
          <w:lang w:val="en-AU" w:eastAsia="zh-TW"/>
        </w:rPr>
        <w:t>ted.  Inflows do not include</w:t>
      </w:r>
      <w:r w:rsidR="00AC3567" w:rsidRPr="000147AE">
        <w:rPr>
          <w:rFonts w:ascii="Calibri" w:hAnsi="Calibri" w:cs="Calibri,Bold"/>
          <w:bCs/>
          <w:sz w:val="16"/>
          <w:szCs w:val="22"/>
          <w:lang w:val="en-AU" w:eastAsia="zh-TW"/>
        </w:rPr>
        <w:t xml:space="preserve"> market movement.</w:t>
      </w:r>
    </w:p>
    <w:p w:rsidR="00183EA2" w:rsidRPr="00C034C3" w:rsidRDefault="00183EA2" w:rsidP="00C92B75">
      <w:pPr>
        <w:autoSpaceDE w:val="0"/>
        <w:autoSpaceDN w:val="0"/>
        <w:adjustRightInd w:val="0"/>
        <w:jc w:val="both"/>
        <w:rPr>
          <w:rFonts w:ascii="Calibri" w:hAnsi="Calibri" w:cs="Calibri,Bold"/>
          <w:bCs/>
          <w:sz w:val="20"/>
          <w:szCs w:val="22"/>
          <w:lang w:val="en-AU" w:eastAsia="zh-TW"/>
        </w:rPr>
      </w:pPr>
    </w:p>
    <w:p w:rsidR="008903A5" w:rsidRPr="008B790F" w:rsidRDefault="00323267" w:rsidP="00136B9E">
      <w:pPr>
        <w:autoSpaceDE w:val="0"/>
        <w:autoSpaceDN w:val="0"/>
        <w:adjustRightInd w:val="0"/>
        <w:jc w:val="both"/>
        <w:rPr>
          <w:rFonts w:ascii="Calibri" w:hAnsi="Calibri" w:cs="Calibri,Bold"/>
          <w:b/>
          <w:bCs/>
          <w:sz w:val="22"/>
          <w:szCs w:val="22"/>
          <w:u w:val="single"/>
          <w:lang w:val="en-AU" w:eastAsia="zh-TW"/>
        </w:rPr>
      </w:pPr>
      <w:r>
        <w:rPr>
          <w:rFonts w:ascii="Calibri" w:hAnsi="Calibri" w:cs="Calibri,Bold"/>
          <w:b/>
          <w:bCs/>
          <w:sz w:val="22"/>
          <w:szCs w:val="22"/>
          <w:u w:val="single"/>
          <w:lang w:val="en-AU" w:eastAsia="zh-TW"/>
        </w:rPr>
        <w:t>Paragem update</w:t>
      </w:r>
    </w:p>
    <w:p w:rsidR="008903A5" w:rsidRPr="008B790F" w:rsidRDefault="008903A5" w:rsidP="00136B9E">
      <w:pPr>
        <w:autoSpaceDE w:val="0"/>
        <w:autoSpaceDN w:val="0"/>
        <w:adjustRightInd w:val="0"/>
        <w:jc w:val="both"/>
        <w:rPr>
          <w:rFonts w:ascii="Calibri" w:hAnsi="Calibri" w:cs="Calibri,Bold"/>
          <w:b/>
          <w:bCs/>
          <w:sz w:val="22"/>
          <w:szCs w:val="22"/>
          <w:u w:val="single"/>
          <w:lang w:val="en-AU" w:eastAsia="zh-TW"/>
        </w:rPr>
      </w:pPr>
    </w:p>
    <w:p w:rsidR="00FE7ED7" w:rsidRDefault="000C0976" w:rsidP="00FE7ED7">
      <w:pPr>
        <w:spacing w:after="200" w:line="276" w:lineRule="auto"/>
        <w:jc w:val="both"/>
        <w:rPr>
          <w:rFonts w:ascii="Calibri" w:eastAsia="Times New Roman" w:hAnsi="Calibri"/>
          <w:sz w:val="22"/>
          <w:szCs w:val="22"/>
          <w:lang w:val="en-AU" w:eastAsia="en-AU"/>
        </w:rPr>
      </w:pPr>
      <w:r>
        <w:rPr>
          <w:rFonts w:ascii="Calibri" w:hAnsi="Calibri" w:cs="Calibri,Bold"/>
          <w:bCs/>
          <w:sz w:val="22"/>
          <w:szCs w:val="22"/>
          <w:lang w:val="en-AU" w:eastAsia="zh-TW"/>
        </w:rPr>
        <w:t>HUB completed the acquisition of Paragem on 4</w:t>
      </w:r>
      <w:r w:rsidRPr="000C0976">
        <w:rPr>
          <w:rFonts w:ascii="Calibri" w:hAnsi="Calibri" w:cs="Calibri,Bold"/>
          <w:bCs/>
          <w:sz w:val="22"/>
          <w:szCs w:val="22"/>
          <w:vertAlign w:val="superscript"/>
          <w:lang w:val="en-AU" w:eastAsia="zh-TW"/>
        </w:rPr>
        <w:t>th</w:t>
      </w:r>
      <w:r>
        <w:rPr>
          <w:rFonts w:ascii="Calibri" w:hAnsi="Calibri" w:cs="Calibri,Bold"/>
          <w:bCs/>
          <w:sz w:val="22"/>
          <w:szCs w:val="22"/>
          <w:lang w:val="en-AU" w:eastAsia="zh-TW"/>
        </w:rPr>
        <w:t xml:space="preserve"> September 2014</w:t>
      </w:r>
      <w:r w:rsidR="00FE7ED7">
        <w:rPr>
          <w:rFonts w:ascii="Calibri" w:eastAsia="Times New Roman" w:hAnsi="Calibri"/>
          <w:sz w:val="22"/>
          <w:szCs w:val="22"/>
          <w:lang w:val="en-AU" w:eastAsia="en-AU"/>
        </w:rPr>
        <w:t xml:space="preserve">. </w:t>
      </w:r>
      <w:r w:rsidR="00F804B1">
        <w:rPr>
          <w:rFonts w:ascii="Calibri" w:eastAsia="Times New Roman" w:hAnsi="Calibri"/>
          <w:sz w:val="22"/>
          <w:szCs w:val="22"/>
          <w:lang w:val="en-AU" w:eastAsia="en-AU"/>
        </w:rPr>
        <w:t>This</w:t>
      </w:r>
      <w:r w:rsidR="00C3408B">
        <w:rPr>
          <w:rFonts w:ascii="Calibri" w:eastAsia="Times New Roman" w:hAnsi="Calibri"/>
          <w:sz w:val="22"/>
          <w:szCs w:val="22"/>
          <w:lang w:val="en-AU" w:eastAsia="en-AU"/>
        </w:rPr>
        <w:t xml:space="preserve"> acquisition supports </w:t>
      </w:r>
      <w:r w:rsidR="00FE7ED7">
        <w:rPr>
          <w:rFonts w:ascii="Calibri" w:eastAsia="Times New Roman" w:hAnsi="Calibri"/>
          <w:sz w:val="22"/>
          <w:szCs w:val="22"/>
          <w:lang w:val="en-AU" w:eastAsia="en-AU"/>
        </w:rPr>
        <w:t>HUB24’s strategy to pursue significant growth by partnering with quality independently minded financial advisers</w:t>
      </w:r>
      <w:r w:rsidR="00F804B1">
        <w:rPr>
          <w:rFonts w:ascii="Calibri" w:eastAsia="Times New Roman" w:hAnsi="Calibri"/>
          <w:sz w:val="22"/>
          <w:szCs w:val="22"/>
          <w:lang w:val="en-AU" w:eastAsia="en-AU"/>
        </w:rPr>
        <w:t xml:space="preserve"> while continuing to support our core business of providing </w:t>
      </w:r>
      <w:r w:rsidR="00BE74E7">
        <w:rPr>
          <w:rFonts w:ascii="Calibri" w:eastAsia="Times New Roman" w:hAnsi="Calibri"/>
          <w:sz w:val="22"/>
          <w:szCs w:val="22"/>
          <w:lang w:val="en-AU" w:eastAsia="en-AU"/>
        </w:rPr>
        <w:t>the HUB24 platform and services to our clients</w:t>
      </w:r>
      <w:r w:rsidR="00C3408B">
        <w:rPr>
          <w:rFonts w:ascii="Calibri" w:eastAsia="Times New Roman" w:hAnsi="Calibri"/>
          <w:sz w:val="22"/>
          <w:szCs w:val="22"/>
          <w:lang w:val="en-AU" w:eastAsia="en-AU"/>
        </w:rPr>
        <w:t xml:space="preserve">. </w:t>
      </w:r>
    </w:p>
    <w:p w:rsidR="00535D31" w:rsidRPr="000C0976" w:rsidRDefault="00535D31" w:rsidP="00535D31">
      <w:pPr>
        <w:autoSpaceDE w:val="0"/>
        <w:autoSpaceDN w:val="0"/>
        <w:adjustRightInd w:val="0"/>
        <w:jc w:val="both"/>
        <w:rPr>
          <w:rFonts w:ascii="Calibri" w:hAnsi="Calibri" w:cs="Calibri,Bold"/>
          <w:bCs/>
          <w:sz w:val="22"/>
          <w:szCs w:val="22"/>
          <w:lang w:val="en-AU" w:eastAsia="zh-TW"/>
        </w:rPr>
      </w:pPr>
      <w:r>
        <w:rPr>
          <w:rFonts w:ascii="Calibri" w:hAnsi="Calibri" w:cs="Calibri,Bold"/>
          <w:bCs/>
          <w:sz w:val="22"/>
          <w:szCs w:val="22"/>
          <w:lang w:val="en-AU" w:eastAsia="zh-TW"/>
        </w:rPr>
        <w:t xml:space="preserve">Transition activities are well progressed and the HUB24 team has begun meeting with </w:t>
      </w:r>
      <w:proofErr w:type="spellStart"/>
      <w:r>
        <w:rPr>
          <w:rFonts w:ascii="Calibri" w:hAnsi="Calibri" w:cs="Calibri,Bold"/>
          <w:bCs/>
          <w:sz w:val="22"/>
          <w:szCs w:val="22"/>
          <w:lang w:val="en-AU" w:eastAsia="zh-TW"/>
        </w:rPr>
        <w:t>Paragem</w:t>
      </w:r>
      <w:proofErr w:type="spellEnd"/>
      <w:r>
        <w:rPr>
          <w:rFonts w:ascii="Calibri" w:hAnsi="Calibri" w:cs="Calibri,Bold"/>
          <w:bCs/>
          <w:sz w:val="22"/>
          <w:szCs w:val="22"/>
          <w:lang w:val="en-AU" w:eastAsia="zh-TW"/>
        </w:rPr>
        <w:t xml:space="preserve"> practices </w:t>
      </w:r>
      <w:r w:rsidR="00C64F0A">
        <w:rPr>
          <w:rFonts w:ascii="Calibri" w:hAnsi="Calibri" w:cs="Calibri,Bold"/>
          <w:bCs/>
          <w:sz w:val="22"/>
          <w:szCs w:val="22"/>
          <w:lang w:val="en-AU" w:eastAsia="zh-TW"/>
        </w:rPr>
        <w:t>and</w:t>
      </w:r>
      <w:r w:rsidR="00556DC8">
        <w:rPr>
          <w:rFonts w:ascii="Calibri" w:hAnsi="Calibri" w:cs="Calibri,Bold"/>
          <w:bCs/>
          <w:sz w:val="22"/>
          <w:szCs w:val="22"/>
          <w:lang w:val="en-AU" w:eastAsia="zh-TW"/>
        </w:rPr>
        <w:t xml:space="preserve"> </w:t>
      </w:r>
      <w:r>
        <w:rPr>
          <w:rFonts w:ascii="Calibri" w:hAnsi="Calibri" w:cs="Calibri,Bold"/>
          <w:bCs/>
          <w:sz w:val="22"/>
          <w:szCs w:val="22"/>
          <w:lang w:val="en-AU" w:eastAsia="zh-TW"/>
        </w:rPr>
        <w:t xml:space="preserve">the company looks forward to strong growth from </w:t>
      </w:r>
      <w:r w:rsidR="00C64F0A">
        <w:rPr>
          <w:rFonts w:ascii="Calibri" w:hAnsi="Calibri" w:cs="Calibri,Bold"/>
          <w:bCs/>
          <w:sz w:val="22"/>
          <w:szCs w:val="22"/>
          <w:lang w:val="en-AU" w:eastAsia="zh-TW"/>
        </w:rPr>
        <w:t>this business</w:t>
      </w:r>
      <w:r>
        <w:rPr>
          <w:rFonts w:ascii="Calibri" w:hAnsi="Calibri" w:cs="Calibri,Bold"/>
          <w:bCs/>
          <w:sz w:val="22"/>
          <w:szCs w:val="22"/>
          <w:lang w:val="en-AU" w:eastAsia="zh-TW"/>
        </w:rPr>
        <w:t>.</w:t>
      </w:r>
    </w:p>
    <w:p w:rsidR="00183EA2" w:rsidRDefault="00183EA2" w:rsidP="00136B9E">
      <w:pPr>
        <w:autoSpaceDE w:val="0"/>
        <w:autoSpaceDN w:val="0"/>
        <w:adjustRightInd w:val="0"/>
        <w:jc w:val="both"/>
        <w:rPr>
          <w:rFonts w:ascii="Calibri" w:hAnsi="Calibri" w:cs="Calibri,Bold"/>
          <w:b/>
          <w:bCs/>
          <w:sz w:val="22"/>
          <w:szCs w:val="22"/>
          <w:u w:val="single"/>
          <w:lang w:val="en-AU" w:eastAsia="zh-TW"/>
        </w:rPr>
      </w:pPr>
    </w:p>
    <w:p w:rsidR="00FE7ED7" w:rsidRDefault="00323267" w:rsidP="00136B9E">
      <w:pPr>
        <w:autoSpaceDE w:val="0"/>
        <w:autoSpaceDN w:val="0"/>
        <w:adjustRightInd w:val="0"/>
        <w:jc w:val="both"/>
        <w:rPr>
          <w:rFonts w:ascii="Calibri" w:hAnsi="Calibri" w:cs="Calibri,Bold"/>
          <w:b/>
          <w:bCs/>
          <w:sz w:val="22"/>
          <w:szCs w:val="22"/>
          <w:u w:val="single"/>
          <w:lang w:val="en-AU" w:eastAsia="zh-TW"/>
        </w:rPr>
      </w:pPr>
      <w:r>
        <w:rPr>
          <w:rFonts w:ascii="Calibri" w:hAnsi="Calibri" w:cs="Calibri,Bold"/>
          <w:b/>
          <w:bCs/>
          <w:sz w:val="22"/>
          <w:szCs w:val="22"/>
          <w:u w:val="single"/>
          <w:lang w:val="en-AU" w:eastAsia="zh-TW"/>
        </w:rPr>
        <w:t>Pro</w:t>
      </w:r>
      <w:r w:rsidR="00535D31">
        <w:rPr>
          <w:rFonts w:ascii="Calibri" w:hAnsi="Calibri" w:cs="Calibri,Bold"/>
          <w:b/>
          <w:bCs/>
          <w:sz w:val="22"/>
          <w:szCs w:val="22"/>
          <w:u w:val="single"/>
          <w:lang w:val="en-AU" w:eastAsia="zh-TW"/>
        </w:rPr>
        <w:t>duct Development</w:t>
      </w:r>
    </w:p>
    <w:p w:rsidR="003A0497" w:rsidRDefault="003A0497" w:rsidP="00136B9E">
      <w:pPr>
        <w:autoSpaceDE w:val="0"/>
        <w:autoSpaceDN w:val="0"/>
        <w:adjustRightInd w:val="0"/>
        <w:jc w:val="both"/>
        <w:rPr>
          <w:rFonts w:ascii="Calibri" w:hAnsi="Calibri" w:cs="Calibri,Bold"/>
          <w:b/>
          <w:bCs/>
          <w:sz w:val="22"/>
          <w:szCs w:val="22"/>
          <w:u w:val="single"/>
          <w:lang w:val="en-AU" w:eastAsia="zh-TW"/>
        </w:rPr>
      </w:pPr>
    </w:p>
    <w:p w:rsidR="00FE7ED7" w:rsidRDefault="00535D31" w:rsidP="00FE7ED7">
      <w:pPr>
        <w:autoSpaceDE w:val="0"/>
        <w:autoSpaceDN w:val="0"/>
        <w:adjustRightInd w:val="0"/>
        <w:jc w:val="both"/>
        <w:rPr>
          <w:rFonts w:ascii="Calibri" w:eastAsia="Calibri" w:hAnsi="Calibri"/>
          <w:sz w:val="22"/>
          <w:szCs w:val="22"/>
          <w:lang w:val="en-AU"/>
        </w:rPr>
      </w:pPr>
      <w:r>
        <w:rPr>
          <w:rFonts w:ascii="Calibri" w:eastAsia="Calibri" w:hAnsi="Calibri"/>
          <w:sz w:val="22"/>
          <w:szCs w:val="22"/>
          <w:lang w:val="en-AU"/>
        </w:rPr>
        <w:t xml:space="preserve">HUB24’s </w:t>
      </w:r>
      <w:r w:rsidR="00FE7ED7">
        <w:rPr>
          <w:rFonts w:ascii="Calibri" w:eastAsia="Calibri" w:hAnsi="Calibri"/>
          <w:sz w:val="22"/>
          <w:szCs w:val="22"/>
          <w:lang w:val="en-AU"/>
        </w:rPr>
        <w:t xml:space="preserve">commitment to provide </w:t>
      </w:r>
      <w:r w:rsidR="00556DC8">
        <w:rPr>
          <w:rFonts w:ascii="Calibri" w:eastAsia="Calibri" w:hAnsi="Calibri"/>
          <w:sz w:val="22"/>
          <w:szCs w:val="22"/>
          <w:lang w:val="en-AU"/>
        </w:rPr>
        <w:t xml:space="preserve">a wide </w:t>
      </w:r>
      <w:r w:rsidR="00FE7ED7">
        <w:rPr>
          <w:rFonts w:ascii="Calibri" w:eastAsia="Calibri" w:hAnsi="Calibri"/>
          <w:sz w:val="22"/>
          <w:szCs w:val="22"/>
          <w:lang w:val="en-AU"/>
        </w:rPr>
        <w:t xml:space="preserve">choice </w:t>
      </w:r>
      <w:r w:rsidR="00556DC8">
        <w:rPr>
          <w:rFonts w:ascii="Calibri" w:eastAsia="Calibri" w:hAnsi="Calibri"/>
          <w:sz w:val="22"/>
          <w:szCs w:val="22"/>
          <w:lang w:val="en-AU"/>
        </w:rPr>
        <w:t xml:space="preserve">of high quality products </w:t>
      </w:r>
      <w:r w:rsidR="00FE7ED7">
        <w:rPr>
          <w:rFonts w:ascii="Calibri" w:eastAsia="Calibri" w:hAnsi="Calibri"/>
          <w:sz w:val="22"/>
          <w:szCs w:val="22"/>
          <w:lang w:val="en-AU"/>
        </w:rPr>
        <w:t>to advisers and their clients</w:t>
      </w:r>
      <w:r>
        <w:rPr>
          <w:rFonts w:ascii="Calibri" w:eastAsia="Calibri" w:hAnsi="Calibri"/>
          <w:sz w:val="22"/>
          <w:szCs w:val="22"/>
          <w:lang w:val="en-AU"/>
        </w:rPr>
        <w:t xml:space="preserve"> has resulted in the addition of </w:t>
      </w:r>
      <w:r w:rsidR="00FE7ED7">
        <w:rPr>
          <w:rFonts w:ascii="Calibri" w:eastAsia="Calibri" w:hAnsi="Calibri"/>
          <w:sz w:val="22"/>
          <w:szCs w:val="22"/>
          <w:lang w:val="en-AU"/>
        </w:rPr>
        <w:t xml:space="preserve">Zurich’s Wealth Protection product to </w:t>
      </w:r>
      <w:r w:rsidR="00556DC8">
        <w:rPr>
          <w:rFonts w:ascii="Calibri" w:eastAsia="Calibri" w:hAnsi="Calibri"/>
          <w:sz w:val="22"/>
          <w:szCs w:val="22"/>
          <w:lang w:val="en-AU"/>
        </w:rPr>
        <w:t xml:space="preserve">the platform’s </w:t>
      </w:r>
      <w:r w:rsidR="00FE7ED7">
        <w:rPr>
          <w:rFonts w:ascii="Calibri" w:eastAsia="Calibri" w:hAnsi="Calibri"/>
          <w:sz w:val="22"/>
          <w:szCs w:val="22"/>
          <w:lang w:val="en-AU"/>
        </w:rPr>
        <w:t>existing insurance offerings from AIA and TAL.</w:t>
      </w:r>
      <w:r w:rsidR="00556DC8">
        <w:rPr>
          <w:rFonts w:ascii="Calibri" w:eastAsia="Calibri" w:hAnsi="Calibri"/>
          <w:sz w:val="22"/>
          <w:szCs w:val="22"/>
          <w:lang w:val="en-AU"/>
        </w:rPr>
        <w:t xml:space="preserve"> Both Zurich and TAL were jointly awarded CANSTAR’s Outstanding Value Life Insurer Award durin</w:t>
      </w:r>
      <w:r w:rsidR="00BE74E7">
        <w:rPr>
          <w:rFonts w:ascii="Calibri" w:eastAsia="Calibri" w:hAnsi="Calibri"/>
          <w:sz w:val="22"/>
          <w:szCs w:val="22"/>
          <w:lang w:val="en-AU"/>
        </w:rPr>
        <w:t>g September 2014 and HUB24</w:t>
      </w:r>
      <w:r w:rsidR="00556DC8">
        <w:rPr>
          <w:rFonts w:ascii="Calibri" w:eastAsia="Calibri" w:hAnsi="Calibri"/>
          <w:sz w:val="22"/>
          <w:szCs w:val="22"/>
          <w:lang w:val="en-AU"/>
        </w:rPr>
        <w:t xml:space="preserve"> is pleased to offer clients these award winning solutions.</w:t>
      </w:r>
    </w:p>
    <w:p w:rsidR="00556DC8" w:rsidRDefault="00556DC8" w:rsidP="00FE7ED7">
      <w:pPr>
        <w:autoSpaceDE w:val="0"/>
        <w:autoSpaceDN w:val="0"/>
        <w:adjustRightInd w:val="0"/>
        <w:jc w:val="both"/>
        <w:rPr>
          <w:rFonts w:ascii="Calibri" w:eastAsia="Calibri" w:hAnsi="Calibri"/>
          <w:sz w:val="22"/>
          <w:szCs w:val="22"/>
          <w:lang w:val="en-AU"/>
        </w:rPr>
      </w:pPr>
    </w:p>
    <w:p w:rsidR="00556DC8" w:rsidRPr="00CB4018" w:rsidRDefault="00556DC8" w:rsidP="00FE7ED7">
      <w:pPr>
        <w:autoSpaceDE w:val="0"/>
        <w:autoSpaceDN w:val="0"/>
        <w:adjustRightInd w:val="0"/>
        <w:jc w:val="both"/>
        <w:rPr>
          <w:rFonts w:ascii="Calibri" w:eastAsia="Calibri" w:hAnsi="Calibri"/>
          <w:sz w:val="22"/>
          <w:szCs w:val="22"/>
          <w:lang w:val="en-AU"/>
        </w:rPr>
      </w:pPr>
      <w:r>
        <w:rPr>
          <w:rFonts w:ascii="Calibri" w:eastAsia="Calibri" w:hAnsi="Calibri"/>
          <w:sz w:val="22"/>
          <w:szCs w:val="22"/>
          <w:lang w:val="en-AU"/>
        </w:rPr>
        <w:t xml:space="preserve">The company has continued to extend the range of investment options available </w:t>
      </w:r>
      <w:r w:rsidR="00EA1127">
        <w:rPr>
          <w:rFonts w:ascii="Calibri" w:eastAsia="Calibri" w:hAnsi="Calibri"/>
          <w:sz w:val="22"/>
          <w:szCs w:val="22"/>
          <w:lang w:val="en-AU"/>
        </w:rPr>
        <w:t xml:space="preserve">for advisers and their clients </w:t>
      </w:r>
      <w:r>
        <w:rPr>
          <w:rFonts w:ascii="Calibri" w:eastAsia="Calibri" w:hAnsi="Calibri"/>
          <w:sz w:val="22"/>
          <w:szCs w:val="22"/>
          <w:lang w:val="en-AU"/>
        </w:rPr>
        <w:t>on HUB24 Super</w:t>
      </w:r>
      <w:r w:rsidR="00EA1127">
        <w:rPr>
          <w:rFonts w:ascii="Calibri" w:eastAsia="Calibri" w:hAnsi="Calibri"/>
          <w:sz w:val="22"/>
          <w:szCs w:val="22"/>
          <w:lang w:val="en-AU"/>
        </w:rPr>
        <w:t xml:space="preserve">.  During the quarter </w:t>
      </w:r>
      <w:r w:rsidR="00256422">
        <w:rPr>
          <w:rFonts w:ascii="Calibri" w:eastAsia="Calibri" w:hAnsi="Calibri"/>
          <w:sz w:val="22"/>
          <w:szCs w:val="22"/>
          <w:lang w:val="en-AU"/>
        </w:rPr>
        <w:t>19</w:t>
      </w:r>
      <w:r>
        <w:rPr>
          <w:rFonts w:ascii="Calibri" w:eastAsia="Calibri" w:hAnsi="Calibri"/>
          <w:sz w:val="22"/>
          <w:szCs w:val="22"/>
          <w:lang w:val="en-AU"/>
        </w:rPr>
        <w:t xml:space="preserve"> managed funds </w:t>
      </w:r>
      <w:r w:rsidR="003A0497">
        <w:rPr>
          <w:rFonts w:ascii="Calibri" w:eastAsia="Calibri" w:hAnsi="Calibri"/>
          <w:sz w:val="22"/>
          <w:szCs w:val="22"/>
          <w:lang w:val="en-AU"/>
        </w:rPr>
        <w:t xml:space="preserve">and </w:t>
      </w:r>
      <w:r w:rsidR="00256422">
        <w:rPr>
          <w:rFonts w:ascii="Calibri" w:eastAsia="Calibri" w:hAnsi="Calibri"/>
          <w:sz w:val="22"/>
          <w:szCs w:val="22"/>
          <w:lang w:val="en-AU"/>
        </w:rPr>
        <w:t>13</w:t>
      </w:r>
      <w:r w:rsidR="003A0497">
        <w:rPr>
          <w:rFonts w:ascii="Calibri" w:eastAsia="Calibri" w:hAnsi="Calibri"/>
          <w:sz w:val="22"/>
          <w:szCs w:val="22"/>
          <w:lang w:val="en-AU"/>
        </w:rPr>
        <w:t xml:space="preserve"> managed portfolio options </w:t>
      </w:r>
      <w:r w:rsidR="00EA1127">
        <w:rPr>
          <w:rFonts w:ascii="Calibri" w:eastAsia="Calibri" w:hAnsi="Calibri"/>
          <w:sz w:val="22"/>
          <w:szCs w:val="22"/>
          <w:lang w:val="en-AU"/>
        </w:rPr>
        <w:t xml:space="preserve">were added across a variety of managers, asset classes and investment styles. </w:t>
      </w:r>
    </w:p>
    <w:p w:rsidR="00FE7ED7" w:rsidRDefault="00FE7ED7" w:rsidP="00136B9E">
      <w:pPr>
        <w:autoSpaceDE w:val="0"/>
        <w:autoSpaceDN w:val="0"/>
        <w:adjustRightInd w:val="0"/>
        <w:jc w:val="both"/>
        <w:rPr>
          <w:rFonts w:ascii="Calibri" w:hAnsi="Calibri" w:cs="Calibri,Bold"/>
          <w:b/>
          <w:bCs/>
          <w:sz w:val="22"/>
          <w:szCs w:val="22"/>
          <w:u w:val="single"/>
          <w:lang w:val="en-AU" w:eastAsia="zh-TW"/>
        </w:rPr>
      </w:pPr>
    </w:p>
    <w:p w:rsidR="003A0497" w:rsidRDefault="003A0497" w:rsidP="003A0497">
      <w:pPr>
        <w:autoSpaceDE w:val="0"/>
        <w:autoSpaceDN w:val="0"/>
        <w:adjustRightInd w:val="0"/>
        <w:jc w:val="both"/>
        <w:rPr>
          <w:rFonts w:ascii="Calibri" w:hAnsi="Calibri" w:cs="Calibri,Bold"/>
          <w:bCs/>
          <w:sz w:val="22"/>
          <w:szCs w:val="22"/>
          <w:lang w:val="en-AU" w:eastAsia="zh-TW"/>
        </w:rPr>
      </w:pPr>
      <w:r>
        <w:rPr>
          <w:rFonts w:ascii="Calibri" w:hAnsi="Calibri" w:cs="Calibri,Bold"/>
          <w:bCs/>
          <w:sz w:val="22"/>
          <w:szCs w:val="22"/>
          <w:lang w:val="en-AU" w:eastAsia="zh-TW"/>
        </w:rPr>
        <w:t>M</w:t>
      </w:r>
      <w:r w:rsidRPr="005B661C">
        <w:rPr>
          <w:rFonts w:ascii="Calibri" w:hAnsi="Calibri" w:cs="Calibri,Bold"/>
          <w:bCs/>
          <w:sz w:val="22"/>
          <w:szCs w:val="22"/>
          <w:lang w:val="en-AU" w:eastAsia="zh-TW"/>
        </w:rPr>
        <w:t>ajor product development initiatives were delivered during the quarter</w:t>
      </w:r>
      <w:r>
        <w:rPr>
          <w:rFonts w:ascii="Calibri" w:hAnsi="Calibri" w:cs="Calibri,Bold"/>
          <w:bCs/>
          <w:sz w:val="22"/>
          <w:szCs w:val="22"/>
          <w:lang w:val="en-AU" w:eastAsia="zh-TW"/>
        </w:rPr>
        <w:t xml:space="preserve">, including Non-Custody Asset Reporting, which allows advisers to consolidate non-custody cash and stock holding information into investor reports through integrated data feeds from stockbrokers and cash management account providers. </w:t>
      </w:r>
    </w:p>
    <w:p w:rsidR="003A0497" w:rsidRDefault="003A0497" w:rsidP="003A0497">
      <w:pPr>
        <w:autoSpaceDE w:val="0"/>
        <w:autoSpaceDN w:val="0"/>
        <w:adjustRightInd w:val="0"/>
        <w:jc w:val="both"/>
        <w:rPr>
          <w:rFonts w:ascii="Calibri" w:hAnsi="Calibri" w:cs="Calibri,Bold"/>
          <w:bCs/>
          <w:sz w:val="22"/>
          <w:szCs w:val="22"/>
          <w:lang w:val="en-AU" w:eastAsia="zh-TW"/>
        </w:rPr>
      </w:pPr>
    </w:p>
    <w:p w:rsidR="003A0497" w:rsidRDefault="003A0497" w:rsidP="003A0497">
      <w:pPr>
        <w:autoSpaceDE w:val="0"/>
        <w:autoSpaceDN w:val="0"/>
        <w:adjustRightInd w:val="0"/>
        <w:jc w:val="both"/>
        <w:rPr>
          <w:rFonts w:ascii="Calibri" w:hAnsi="Calibri" w:cs="Calibri,Bold"/>
          <w:bCs/>
          <w:sz w:val="22"/>
          <w:szCs w:val="22"/>
          <w:lang w:val="en-AU" w:eastAsia="zh-TW"/>
        </w:rPr>
      </w:pPr>
      <w:r>
        <w:rPr>
          <w:rFonts w:ascii="Calibri" w:hAnsi="Calibri" w:cs="Calibri,Bold"/>
          <w:bCs/>
          <w:sz w:val="22"/>
          <w:szCs w:val="22"/>
          <w:lang w:val="en-AU" w:eastAsia="zh-TW"/>
        </w:rPr>
        <w:t xml:space="preserve">In addition, </w:t>
      </w:r>
      <w:r w:rsidR="00A2352E">
        <w:rPr>
          <w:rFonts w:ascii="Calibri" w:hAnsi="Calibri" w:cs="Calibri,Bold"/>
          <w:bCs/>
          <w:sz w:val="22"/>
          <w:szCs w:val="22"/>
          <w:lang w:val="en-AU" w:eastAsia="zh-TW"/>
        </w:rPr>
        <w:t xml:space="preserve">advisers are now able to place share </w:t>
      </w:r>
      <w:r>
        <w:rPr>
          <w:rFonts w:ascii="Calibri" w:hAnsi="Calibri" w:cs="Calibri,Bold"/>
          <w:bCs/>
          <w:sz w:val="22"/>
          <w:szCs w:val="22"/>
          <w:lang w:val="en-AU" w:eastAsia="zh-TW"/>
        </w:rPr>
        <w:t>trades with an approved panel of stockbrokers, providing additional options in the execution of share trades.</w:t>
      </w:r>
    </w:p>
    <w:p w:rsidR="003A0497" w:rsidRDefault="003A0497" w:rsidP="003A0497">
      <w:pPr>
        <w:autoSpaceDE w:val="0"/>
        <w:autoSpaceDN w:val="0"/>
        <w:adjustRightInd w:val="0"/>
        <w:jc w:val="both"/>
        <w:rPr>
          <w:rFonts w:ascii="Calibri" w:hAnsi="Calibri" w:cs="Calibri,Bold"/>
          <w:bCs/>
          <w:sz w:val="22"/>
          <w:szCs w:val="22"/>
          <w:lang w:val="en-AU" w:eastAsia="zh-TW"/>
        </w:rPr>
      </w:pPr>
    </w:p>
    <w:p w:rsidR="003A0497" w:rsidRPr="005B661C" w:rsidRDefault="003A0497" w:rsidP="003A0497">
      <w:pPr>
        <w:autoSpaceDE w:val="0"/>
        <w:autoSpaceDN w:val="0"/>
        <w:adjustRightInd w:val="0"/>
        <w:jc w:val="both"/>
        <w:rPr>
          <w:rFonts w:ascii="Calibri" w:hAnsi="Calibri" w:cs="Calibri,Bold"/>
          <w:bCs/>
          <w:sz w:val="22"/>
          <w:szCs w:val="22"/>
          <w:lang w:val="en-AU" w:eastAsia="zh-TW"/>
        </w:rPr>
      </w:pPr>
      <w:r>
        <w:rPr>
          <w:rFonts w:ascii="Calibri" w:hAnsi="Calibri" w:cs="Calibri,Bold"/>
          <w:bCs/>
          <w:sz w:val="22"/>
          <w:szCs w:val="22"/>
          <w:lang w:val="en-AU" w:eastAsia="zh-TW"/>
        </w:rPr>
        <w:t xml:space="preserve">These developments </w:t>
      </w:r>
      <w:r w:rsidR="00A2352E">
        <w:rPr>
          <w:rFonts w:ascii="Calibri" w:hAnsi="Calibri" w:cs="Calibri,Bold"/>
          <w:bCs/>
          <w:sz w:val="22"/>
          <w:szCs w:val="22"/>
          <w:lang w:val="en-AU" w:eastAsia="zh-TW"/>
        </w:rPr>
        <w:t xml:space="preserve">extend </w:t>
      </w:r>
      <w:r>
        <w:rPr>
          <w:rFonts w:ascii="Calibri" w:hAnsi="Calibri" w:cs="Calibri,Bold"/>
          <w:bCs/>
          <w:sz w:val="22"/>
          <w:szCs w:val="22"/>
          <w:lang w:val="en-AU" w:eastAsia="zh-TW"/>
        </w:rPr>
        <w:t>the HUB24 platform</w:t>
      </w:r>
      <w:r w:rsidR="00A2352E" w:rsidRPr="00A2352E">
        <w:rPr>
          <w:rFonts w:ascii="Calibri" w:hAnsi="Calibri" w:cs="Calibri,Bold"/>
          <w:bCs/>
          <w:sz w:val="22"/>
          <w:szCs w:val="22"/>
          <w:lang w:val="en-AU" w:eastAsia="zh-TW"/>
        </w:rPr>
        <w:t xml:space="preserve"> </w:t>
      </w:r>
      <w:r w:rsidR="00A2352E">
        <w:rPr>
          <w:rFonts w:ascii="Calibri" w:hAnsi="Calibri" w:cs="Calibri,Bold"/>
          <w:bCs/>
          <w:sz w:val="22"/>
          <w:szCs w:val="22"/>
          <w:lang w:val="en-AU" w:eastAsia="zh-TW"/>
        </w:rPr>
        <w:t>providing greater choice, flexibility and value for clients</w:t>
      </w:r>
      <w:r>
        <w:rPr>
          <w:rFonts w:ascii="Calibri" w:hAnsi="Calibri" w:cs="Calibri,Bold"/>
          <w:bCs/>
          <w:sz w:val="22"/>
          <w:szCs w:val="22"/>
          <w:lang w:val="en-AU" w:eastAsia="zh-TW"/>
        </w:rPr>
        <w:t xml:space="preserve">, </w:t>
      </w:r>
      <w:r w:rsidR="00A2352E">
        <w:rPr>
          <w:rFonts w:ascii="Calibri" w:hAnsi="Calibri" w:cs="Calibri,Bold"/>
          <w:bCs/>
          <w:sz w:val="22"/>
          <w:szCs w:val="22"/>
          <w:lang w:val="en-AU" w:eastAsia="zh-TW"/>
        </w:rPr>
        <w:t xml:space="preserve">and are </w:t>
      </w:r>
      <w:r>
        <w:rPr>
          <w:rFonts w:ascii="Calibri" w:hAnsi="Calibri" w:cs="Calibri,Bold"/>
          <w:bCs/>
          <w:sz w:val="22"/>
          <w:szCs w:val="22"/>
          <w:lang w:val="en-AU" w:eastAsia="zh-TW"/>
        </w:rPr>
        <w:t xml:space="preserve">particularly </w:t>
      </w:r>
      <w:r w:rsidR="00A2352E">
        <w:rPr>
          <w:rFonts w:ascii="Calibri" w:hAnsi="Calibri" w:cs="Calibri,Bold"/>
          <w:bCs/>
          <w:sz w:val="22"/>
          <w:szCs w:val="22"/>
          <w:lang w:val="en-AU" w:eastAsia="zh-TW"/>
        </w:rPr>
        <w:t xml:space="preserve">attractive to </w:t>
      </w:r>
      <w:r>
        <w:rPr>
          <w:rFonts w:ascii="Calibri" w:hAnsi="Calibri" w:cs="Calibri,Bold"/>
          <w:bCs/>
          <w:sz w:val="22"/>
          <w:szCs w:val="22"/>
          <w:lang w:val="en-AU" w:eastAsia="zh-TW"/>
        </w:rPr>
        <w:t xml:space="preserve">stockbroking </w:t>
      </w:r>
      <w:r w:rsidR="00A2352E">
        <w:rPr>
          <w:rFonts w:ascii="Calibri" w:hAnsi="Calibri" w:cs="Calibri,Bold"/>
          <w:bCs/>
          <w:sz w:val="22"/>
          <w:szCs w:val="22"/>
          <w:lang w:val="en-AU" w:eastAsia="zh-TW"/>
        </w:rPr>
        <w:t>firms seeking a platform solution that can provide integrated custody and non-custody s</w:t>
      </w:r>
      <w:r w:rsidR="007201C2">
        <w:rPr>
          <w:rFonts w:ascii="Calibri" w:hAnsi="Calibri" w:cs="Calibri,Bold"/>
          <w:bCs/>
          <w:sz w:val="22"/>
          <w:szCs w:val="22"/>
          <w:lang w:val="en-AU" w:eastAsia="zh-TW"/>
        </w:rPr>
        <w:t>olutions for</w:t>
      </w:r>
      <w:r w:rsidR="00A2352E">
        <w:rPr>
          <w:rFonts w:ascii="Calibri" w:hAnsi="Calibri" w:cs="Calibri,Bold"/>
          <w:bCs/>
          <w:sz w:val="22"/>
          <w:szCs w:val="22"/>
          <w:lang w:val="en-AU" w:eastAsia="zh-TW"/>
        </w:rPr>
        <w:t xml:space="preserve"> advisers and clients</w:t>
      </w:r>
      <w:r>
        <w:rPr>
          <w:rFonts w:ascii="Calibri" w:hAnsi="Calibri" w:cs="Calibri,Bold"/>
          <w:bCs/>
          <w:sz w:val="22"/>
          <w:szCs w:val="22"/>
          <w:lang w:val="en-AU" w:eastAsia="zh-TW"/>
        </w:rPr>
        <w:t>.</w:t>
      </w:r>
    </w:p>
    <w:p w:rsidR="002D0F51" w:rsidRDefault="002D0F51" w:rsidP="00F30A48">
      <w:pPr>
        <w:autoSpaceDE w:val="0"/>
        <w:autoSpaceDN w:val="0"/>
        <w:adjustRightInd w:val="0"/>
        <w:jc w:val="both"/>
        <w:rPr>
          <w:rFonts w:ascii="Calibri" w:hAnsi="Calibri" w:cs="Calibri"/>
          <w:b/>
          <w:sz w:val="22"/>
          <w:szCs w:val="22"/>
          <w:u w:val="single"/>
          <w:lang w:val="en-AU" w:eastAsia="zh-TW"/>
        </w:rPr>
      </w:pPr>
    </w:p>
    <w:p w:rsidR="00267372" w:rsidRDefault="00267372" w:rsidP="00F30A48">
      <w:pPr>
        <w:autoSpaceDE w:val="0"/>
        <w:autoSpaceDN w:val="0"/>
        <w:adjustRightInd w:val="0"/>
        <w:jc w:val="both"/>
        <w:rPr>
          <w:rFonts w:ascii="Calibri" w:hAnsi="Calibri" w:cs="Calibri"/>
          <w:b/>
          <w:sz w:val="22"/>
          <w:szCs w:val="22"/>
          <w:u w:val="single"/>
          <w:lang w:val="en-AU" w:eastAsia="zh-TW"/>
        </w:rPr>
      </w:pPr>
    </w:p>
    <w:p w:rsidR="00267372" w:rsidRDefault="00267372" w:rsidP="00F30A48">
      <w:pPr>
        <w:autoSpaceDE w:val="0"/>
        <w:autoSpaceDN w:val="0"/>
        <w:adjustRightInd w:val="0"/>
        <w:jc w:val="both"/>
        <w:rPr>
          <w:rFonts w:ascii="Calibri" w:hAnsi="Calibri" w:cs="Calibri"/>
          <w:b/>
          <w:sz w:val="22"/>
          <w:szCs w:val="22"/>
          <w:u w:val="single"/>
          <w:lang w:val="en-AU" w:eastAsia="zh-TW"/>
        </w:rPr>
      </w:pPr>
    </w:p>
    <w:p w:rsidR="0062214C" w:rsidRDefault="0062214C" w:rsidP="00F30A48">
      <w:pPr>
        <w:autoSpaceDE w:val="0"/>
        <w:autoSpaceDN w:val="0"/>
        <w:adjustRightInd w:val="0"/>
        <w:jc w:val="both"/>
        <w:rPr>
          <w:rFonts w:ascii="Calibri" w:hAnsi="Calibri" w:cs="Calibri"/>
          <w:b/>
          <w:sz w:val="22"/>
          <w:szCs w:val="22"/>
          <w:u w:val="single"/>
          <w:lang w:val="en-AU" w:eastAsia="zh-TW"/>
        </w:rPr>
      </w:pPr>
    </w:p>
    <w:p w:rsidR="00B155DC" w:rsidRPr="00B155DC" w:rsidRDefault="00B155DC" w:rsidP="00F30A48">
      <w:pPr>
        <w:autoSpaceDE w:val="0"/>
        <w:autoSpaceDN w:val="0"/>
        <w:adjustRightInd w:val="0"/>
        <w:jc w:val="both"/>
        <w:rPr>
          <w:rFonts w:ascii="Calibri" w:hAnsi="Calibri" w:cs="Calibri"/>
          <w:b/>
          <w:sz w:val="22"/>
          <w:szCs w:val="22"/>
          <w:u w:val="single"/>
          <w:lang w:val="en-AU" w:eastAsia="zh-TW"/>
        </w:rPr>
      </w:pPr>
      <w:r w:rsidRPr="00B155DC">
        <w:rPr>
          <w:rFonts w:ascii="Calibri" w:hAnsi="Calibri" w:cs="Calibri"/>
          <w:b/>
          <w:sz w:val="22"/>
          <w:szCs w:val="22"/>
          <w:u w:val="single"/>
          <w:lang w:val="en-AU" w:eastAsia="zh-TW"/>
        </w:rPr>
        <w:t>BRW – Most Innovative Companies 2014</w:t>
      </w:r>
    </w:p>
    <w:p w:rsidR="009F18DA" w:rsidRPr="009F18DA" w:rsidRDefault="009F18DA" w:rsidP="00BB030B">
      <w:pPr>
        <w:autoSpaceDE w:val="0"/>
        <w:autoSpaceDN w:val="0"/>
        <w:adjustRightInd w:val="0"/>
        <w:jc w:val="both"/>
        <w:rPr>
          <w:rFonts w:ascii="Calibri" w:hAnsi="Calibri" w:cs="Calibri"/>
          <w:sz w:val="20"/>
          <w:szCs w:val="22"/>
          <w:lang w:val="en-AU" w:eastAsia="zh-TW"/>
        </w:rPr>
      </w:pPr>
    </w:p>
    <w:p w:rsidR="00454EA3" w:rsidRDefault="00B155DC" w:rsidP="00BB030B">
      <w:pPr>
        <w:autoSpaceDE w:val="0"/>
        <w:autoSpaceDN w:val="0"/>
        <w:adjustRightInd w:val="0"/>
        <w:jc w:val="both"/>
        <w:rPr>
          <w:rFonts w:ascii="Calibri" w:hAnsi="Calibri" w:cs="Calibri"/>
          <w:sz w:val="22"/>
          <w:szCs w:val="22"/>
          <w:lang w:val="en-AU" w:eastAsia="zh-TW"/>
        </w:rPr>
      </w:pPr>
      <w:r>
        <w:rPr>
          <w:rFonts w:ascii="Calibri" w:hAnsi="Calibri" w:cs="Calibri"/>
          <w:sz w:val="22"/>
          <w:szCs w:val="22"/>
          <w:lang w:val="en-AU" w:eastAsia="zh-TW"/>
        </w:rPr>
        <w:t xml:space="preserve">HUB24 has </w:t>
      </w:r>
      <w:r w:rsidR="00EA1127">
        <w:rPr>
          <w:rFonts w:ascii="Calibri" w:hAnsi="Calibri" w:cs="Calibri"/>
          <w:sz w:val="22"/>
          <w:szCs w:val="22"/>
          <w:lang w:val="en-AU" w:eastAsia="zh-TW"/>
        </w:rPr>
        <w:t xml:space="preserve">been included </w:t>
      </w:r>
      <w:r>
        <w:rPr>
          <w:rFonts w:ascii="Calibri" w:hAnsi="Calibri" w:cs="Calibri"/>
          <w:sz w:val="22"/>
          <w:szCs w:val="22"/>
          <w:lang w:val="en-AU" w:eastAsia="zh-TW"/>
        </w:rPr>
        <w:t xml:space="preserve">in the </w:t>
      </w:r>
      <w:r w:rsidR="00EA1127">
        <w:rPr>
          <w:rFonts w:ascii="Calibri" w:hAnsi="Calibri" w:cs="Calibri"/>
          <w:sz w:val="22"/>
          <w:szCs w:val="22"/>
          <w:lang w:val="en-AU" w:eastAsia="zh-TW"/>
        </w:rPr>
        <w:t xml:space="preserve">BRW magazine </w:t>
      </w:r>
      <w:r>
        <w:rPr>
          <w:rFonts w:ascii="Calibri" w:hAnsi="Calibri" w:cs="Calibri"/>
          <w:sz w:val="22"/>
          <w:szCs w:val="22"/>
          <w:lang w:val="en-AU" w:eastAsia="zh-TW"/>
        </w:rPr>
        <w:t>top 50 most innovative companies being the only investment and superannuation</w:t>
      </w:r>
      <w:r w:rsidR="00BE74E7">
        <w:rPr>
          <w:rFonts w:ascii="Calibri" w:hAnsi="Calibri" w:cs="Calibri"/>
          <w:sz w:val="22"/>
          <w:szCs w:val="22"/>
          <w:lang w:val="en-AU" w:eastAsia="zh-TW"/>
        </w:rPr>
        <w:t xml:space="preserve"> platform in the market to be selected</w:t>
      </w:r>
      <w:r>
        <w:rPr>
          <w:rFonts w:ascii="Calibri" w:hAnsi="Calibri" w:cs="Calibri"/>
          <w:sz w:val="22"/>
          <w:szCs w:val="22"/>
          <w:lang w:val="en-AU" w:eastAsia="zh-TW"/>
        </w:rPr>
        <w:t xml:space="preserve">. </w:t>
      </w:r>
      <w:r w:rsidR="00EA1127">
        <w:rPr>
          <w:rFonts w:ascii="Calibri" w:hAnsi="Calibri" w:cs="Calibri"/>
          <w:sz w:val="22"/>
          <w:szCs w:val="22"/>
          <w:lang w:val="en-AU" w:eastAsia="zh-TW"/>
        </w:rPr>
        <w:t>Over 400 o</w:t>
      </w:r>
      <w:r>
        <w:rPr>
          <w:rFonts w:ascii="Calibri" w:hAnsi="Calibri" w:cs="Calibri"/>
          <w:sz w:val="22"/>
          <w:szCs w:val="22"/>
          <w:lang w:val="en-AU" w:eastAsia="zh-TW"/>
        </w:rPr>
        <w:t xml:space="preserve">rganisations </w:t>
      </w:r>
      <w:r w:rsidR="00EA1127">
        <w:rPr>
          <w:rFonts w:ascii="Calibri" w:hAnsi="Calibri" w:cs="Calibri"/>
          <w:sz w:val="22"/>
          <w:szCs w:val="22"/>
          <w:lang w:val="en-AU" w:eastAsia="zh-TW"/>
        </w:rPr>
        <w:t>participated in the assessme</w:t>
      </w:r>
      <w:r w:rsidR="00237BF6">
        <w:rPr>
          <w:rFonts w:ascii="Calibri" w:hAnsi="Calibri" w:cs="Calibri"/>
          <w:sz w:val="22"/>
          <w:szCs w:val="22"/>
          <w:lang w:val="en-AU" w:eastAsia="zh-TW"/>
        </w:rPr>
        <w:t>nt undertaken by BRW</w:t>
      </w:r>
      <w:r w:rsidR="00310ED4">
        <w:rPr>
          <w:rStyle w:val="FootnoteReference"/>
          <w:rFonts w:ascii="Calibri" w:hAnsi="Calibri" w:cs="Calibri"/>
          <w:sz w:val="22"/>
          <w:szCs w:val="22"/>
          <w:lang w:val="en-AU" w:eastAsia="zh-TW"/>
        </w:rPr>
        <w:footnoteReference w:id="2"/>
      </w:r>
      <w:r w:rsidR="00EA1127">
        <w:rPr>
          <w:rFonts w:ascii="Calibri" w:hAnsi="Calibri" w:cs="Calibri"/>
          <w:sz w:val="22"/>
          <w:szCs w:val="22"/>
          <w:lang w:val="en-AU" w:eastAsia="zh-TW"/>
        </w:rPr>
        <w:t xml:space="preserve"> which reviewed specific </w:t>
      </w:r>
      <w:r w:rsidR="00454EA3">
        <w:rPr>
          <w:rFonts w:ascii="Calibri" w:hAnsi="Calibri" w:cs="Calibri"/>
          <w:sz w:val="22"/>
          <w:szCs w:val="22"/>
          <w:lang w:val="en-AU" w:eastAsia="zh-TW"/>
        </w:rPr>
        <w:t xml:space="preserve">innovations implemented </w:t>
      </w:r>
      <w:r w:rsidR="00EA1127">
        <w:rPr>
          <w:rFonts w:ascii="Calibri" w:hAnsi="Calibri" w:cs="Calibri"/>
          <w:sz w:val="22"/>
          <w:szCs w:val="22"/>
          <w:lang w:val="en-AU" w:eastAsia="zh-TW"/>
        </w:rPr>
        <w:t xml:space="preserve">in </w:t>
      </w:r>
      <w:r w:rsidR="00454EA3">
        <w:rPr>
          <w:rFonts w:ascii="Calibri" w:hAnsi="Calibri" w:cs="Calibri"/>
          <w:sz w:val="22"/>
          <w:szCs w:val="22"/>
          <w:lang w:val="en-AU" w:eastAsia="zh-TW"/>
        </w:rPr>
        <w:t xml:space="preserve">the past 12 months </w:t>
      </w:r>
      <w:r w:rsidR="00EA1127">
        <w:rPr>
          <w:rFonts w:ascii="Calibri" w:hAnsi="Calibri" w:cs="Calibri"/>
          <w:sz w:val="22"/>
          <w:szCs w:val="22"/>
          <w:lang w:val="en-AU" w:eastAsia="zh-TW"/>
        </w:rPr>
        <w:t xml:space="preserve">and the innovation capability of the participants.  The achievement recognises the company’s continued leadership with innovation and its commitment to deliver relevant and compelling solutions for advisers that support the delivery </w:t>
      </w:r>
      <w:r w:rsidR="00503A33">
        <w:rPr>
          <w:rFonts w:ascii="Calibri" w:hAnsi="Calibri" w:cs="Calibri"/>
          <w:sz w:val="22"/>
          <w:szCs w:val="22"/>
          <w:lang w:val="en-AU" w:eastAsia="zh-TW"/>
        </w:rPr>
        <w:t xml:space="preserve">of superior outcomes </w:t>
      </w:r>
      <w:r w:rsidR="00EA1127">
        <w:rPr>
          <w:rFonts w:ascii="Calibri" w:hAnsi="Calibri" w:cs="Calibri"/>
          <w:sz w:val="22"/>
          <w:szCs w:val="22"/>
          <w:lang w:val="en-AU" w:eastAsia="zh-TW"/>
        </w:rPr>
        <w:t>for their clients.</w:t>
      </w:r>
    </w:p>
    <w:p w:rsidR="00B155DC" w:rsidRDefault="00B155DC" w:rsidP="00F30A48">
      <w:pPr>
        <w:autoSpaceDE w:val="0"/>
        <w:autoSpaceDN w:val="0"/>
        <w:adjustRightInd w:val="0"/>
        <w:jc w:val="both"/>
        <w:rPr>
          <w:rFonts w:ascii="Calibri" w:hAnsi="Calibri" w:cs="Calibri"/>
          <w:sz w:val="22"/>
          <w:szCs w:val="22"/>
          <w:lang w:val="en-AU" w:eastAsia="zh-TW"/>
        </w:rPr>
      </w:pPr>
    </w:p>
    <w:p w:rsidR="00F30A48" w:rsidRPr="00323267" w:rsidRDefault="00F30A48" w:rsidP="00F30A48">
      <w:pPr>
        <w:autoSpaceDE w:val="0"/>
        <w:autoSpaceDN w:val="0"/>
        <w:adjustRightInd w:val="0"/>
        <w:jc w:val="both"/>
        <w:rPr>
          <w:rFonts w:ascii="Calibri" w:hAnsi="Calibri" w:cs="Calibri"/>
          <w:sz w:val="22"/>
          <w:szCs w:val="22"/>
          <w:lang w:val="en-AU" w:eastAsia="zh-TW"/>
        </w:rPr>
      </w:pPr>
      <w:r w:rsidRPr="008B790F">
        <w:rPr>
          <w:rFonts w:ascii="Calibri" w:hAnsi="Calibri" w:cs="Calibri"/>
          <w:sz w:val="22"/>
          <w:szCs w:val="22"/>
          <w:lang w:val="en-AU" w:eastAsia="zh-TW"/>
        </w:rPr>
        <w:t>Issued by HUB24 Limited (ASX: HUB)</w:t>
      </w:r>
      <w:r w:rsidR="00057E08">
        <w:rPr>
          <w:rFonts w:ascii="Calibri" w:hAnsi="Calibri" w:cs="Calibri"/>
          <w:sz w:val="22"/>
          <w:szCs w:val="22"/>
          <w:lang w:val="en-AU" w:eastAsia="zh-TW"/>
        </w:rPr>
        <w:t xml:space="preserve"> on 15</w:t>
      </w:r>
      <w:r w:rsidR="00B15CEA">
        <w:rPr>
          <w:rFonts w:ascii="Calibri" w:hAnsi="Calibri" w:cs="Calibri"/>
          <w:sz w:val="22"/>
          <w:szCs w:val="22"/>
          <w:lang w:val="en-AU" w:eastAsia="zh-TW"/>
        </w:rPr>
        <w:t xml:space="preserve"> </w:t>
      </w:r>
      <w:r w:rsidR="00323267">
        <w:rPr>
          <w:rFonts w:ascii="Calibri" w:hAnsi="Calibri" w:cs="Calibri"/>
          <w:sz w:val="22"/>
          <w:szCs w:val="22"/>
          <w:lang w:val="en-AU" w:eastAsia="zh-TW"/>
        </w:rPr>
        <w:t>October</w:t>
      </w:r>
      <w:r w:rsidR="00D63214" w:rsidRPr="008B790F">
        <w:rPr>
          <w:rFonts w:ascii="Calibri" w:hAnsi="Calibri" w:cs="Calibri"/>
          <w:sz w:val="22"/>
          <w:szCs w:val="22"/>
          <w:lang w:val="en-AU" w:eastAsia="zh-TW"/>
        </w:rPr>
        <w:t xml:space="preserve"> 2014.</w:t>
      </w:r>
    </w:p>
    <w:p w:rsidR="006D76B7" w:rsidRPr="008B790F" w:rsidRDefault="006D76B7" w:rsidP="00F30A48">
      <w:pPr>
        <w:autoSpaceDE w:val="0"/>
        <w:autoSpaceDN w:val="0"/>
        <w:adjustRightInd w:val="0"/>
        <w:jc w:val="both"/>
        <w:rPr>
          <w:rFonts w:ascii="Calibri" w:hAnsi="Calibri" w:cs="Calibri,Bold"/>
          <w:b/>
          <w:bCs/>
          <w:sz w:val="22"/>
          <w:szCs w:val="22"/>
          <w:lang w:val="en-AU" w:eastAsia="zh-TW"/>
        </w:rPr>
      </w:pPr>
    </w:p>
    <w:p w:rsidR="00F30A48" w:rsidRPr="008B790F" w:rsidRDefault="00B209E8" w:rsidP="00F30A48">
      <w:pPr>
        <w:autoSpaceDE w:val="0"/>
        <w:autoSpaceDN w:val="0"/>
        <w:adjustRightInd w:val="0"/>
        <w:jc w:val="both"/>
        <w:rPr>
          <w:rFonts w:ascii="Calibri" w:hAnsi="Calibri" w:cs="Calibri,Bold"/>
          <w:b/>
          <w:bCs/>
          <w:sz w:val="22"/>
          <w:szCs w:val="22"/>
          <w:lang w:val="en-AU" w:eastAsia="zh-TW"/>
        </w:rPr>
      </w:pPr>
      <w:r>
        <w:rPr>
          <w:noProof/>
          <w:lang w:val="en-AU" w:eastAsia="en-AU"/>
        </w:rPr>
        <w:drawing>
          <wp:anchor distT="0" distB="0" distL="114300" distR="114300" simplePos="0" relativeHeight="251657728" behindDoc="0" locked="0" layoutInCell="1" allowOverlap="1">
            <wp:simplePos x="0" y="0"/>
            <wp:positionH relativeFrom="column">
              <wp:posOffset>5173345</wp:posOffset>
            </wp:positionH>
            <wp:positionV relativeFrom="paragraph">
              <wp:posOffset>42545</wp:posOffset>
            </wp:positionV>
            <wp:extent cx="953770" cy="771525"/>
            <wp:effectExtent l="0" t="0" r="0" b="9525"/>
            <wp:wrapNone/>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5377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F30A48" w:rsidRPr="008B790F">
        <w:rPr>
          <w:rFonts w:ascii="Calibri" w:hAnsi="Calibri" w:cs="Calibri,Bold"/>
          <w:b/>
          <w:bCs/>
          <w:sz w:val="22"/>
          <w:szCs w:val="22"/>
          <w:lang w:val="en-AU" w:eastAsia="zh-TW"/>
        </w:rPr>
        <w:t>For further information please contact:</w:t>
      </w:r>
    </w:p>
    <w:tbl>
      <w:tblPr>
        <w:tblW w:w="0" w:type="auto"/>
        <w:tblLook w:val="01E0" w:firstRow="1" w:lastRow="1" w:firstColumn="1" w:lastColumn="1" w:noHBand="0" w:noVBand="0"/>
      </w:tblPr>
      <w:tblGrid>
        <w:gridCol w:w="4553"/>
        <w:gridCol w:w="4511"/>
      </w:tblGrid>
      <w:tr w:rsidR="00F30A48" w:rsidRPr="008B790F" w:rsidTr="00F55E2E">
        <w:tc>
          <w:tcPr>
            <w:tcW w:w="4697" w:type="dxa"/>
          </w:tcPr>
          <w:p w:rsidR="00F30A48" w:rsidRPr="008B790F" w:rsidRDefault="00F30A48" w:rsidP="00F55E2E">
            <w:pPr>
              <w:autoSpaceDE w:val="0"/>
              <w:autoSpaceDN w:val="0"/>
              <w:adjustRightInd w:val="0"/>
              <w:jc w:val="both"/>
              <w:rPr>
                <w:rFonts w:ascii="Calibri" w:hAnsi="Calibri" w:cs="Calibri,Bold"/>
                <w:b/>
                <w:bCs/>
                <w:sz w:val="22"/>
                <w:szCs w:val="22"/>
                <w:lang w:val="en-AU" w:eastAsia="zh-TW"/>
              </w:rPr>
            </w:pPr>
            <w:r w:rsidRPr="008B790F">
              <w:rPr>
                <w:rFonts w:ascii="Calibri" w:hAnsi="Calibri" w:cs="Calibri,Bold"/>
                <w:b/>
                <w:bCs/>
                <w:sz w:val="22"/>
                <w:szCs w:val="22"/>
                <w:lang w:val="en-AU" w:eastAsia="zh-TW"/>
              </w:rPr>
              <w:t>Andrew Alcock</w:t>
            </w:r>
          </w:p>
          <w:p w:rsidR="00F30A48" w:rsidRPr="008B790F" w:rsidRDefault="00F30A48" w:rsidP="00F55E2E">
            <w:pPr>
              <w:autoSpaceDE w:val="0"/>
              <w:autoSpaceDN w:val="0"/>
              <w:adjustRightInd w:val="0"/>
              <w:jc w:val="both"/>
              <w:rPr>
                <w:rFonts w:ascii="Calibri" w:hAnsi="Calibri" w:cs="Calibri,Bold"/>
                <w:bCs/>
                <w:sz w:val="22"/>
                <w:szCs w:val="22"/>
                <w:lang w:val="en-AU" w:eastAsia="zh-TW"/>
              </w:rPr>
            </w:pPr>
            <w:r w:rsidRPr="008B790F">
              <w:rPr>
                <w:rFonts w:ascii="Calibri" w:hAnsi="Calibri" w:cs="Calibri,Bold"/>
                <w:bCs/>
                <w:sz w:val="22"/>
                <w:szCs w:val="22"/>
                <w:lang w:val="en-AU" w:eastAsia="zh-TW"/>
              </w:rPr>
              <w:t>Chief Executive Officer</w:t>
            </w:r>
          </w:p>
          <w:p w:rsidR="00F30A48" w:rsidRPr="008B790F" w:rsidRDefault="00F30A48" w:rsidP="00F55E2E">
            <w:pPr>
              <w:autoSpaceDE w:val="0"/>
              <w:autoSpaceDN w:val="0"/>
              <w:adjustRightInd w:val="0"/>
              <w:jc w:val="both"/>
              <w:rPr>
                <w:rFonts w:ascii="Calibri" w:hAnsi="Calibri" w:cs="Calibri,Bold"/>
                <w:bCs/>
                <w:sz w:val="22"/>
                <w:szCs w:val="22"/>
                <w:lang w:val="en-AU" w:eastAsia="zh-TW"/>
              </w:rPr>
            </w:pPr>
            <w:r w:rsidRPr="008B790F">
              <w:rPr>
                <w:rFonts w:ascii="Calibri" w:hAnsi="Calibri" w:cs="Calibri,Bold"/>
                <w:bCs/>
                <w:sz w:val="22"/>
                <w:szCs w:val="22"/>
                <w:lang w:val="en-AU" w:eastAsia="zh-TW"/>
              </w:rPr>
              <w:t>HUB24 Limited</w:t>
            </w:r>
          </w:p>
          <w:p w:rsidR="00F30A48" w:rsidRPr="008B790F" w:rsidRDefault="00F30A48" w:rsidP="00F55E2E">
            <w:pPr>
              <w:autoSpaceDE w:val="0"/>
              <w:autoSpaceDN w:val="0"/>
              <w:adjustRightInd w:val="0"/>
              <w:jc w:val="both"/>
              <w:rPr>
                <w:rFonts w:ascii="Calibri" w:hAnsi="Calibri" w:cs="Calibri,Bold"/>
                <w:bCs/>
                <w:sz w:val="22"/>
                <w:szCs w:val="22"/>
                <w:lang w:val="en-AU" w:eastAsia="zh-TW"/>
              </w:rPr>
            </w:pPr>
            <w:r w:rsidRPr="008B790F">
              <w:rPr>
                <w:rFonts w:ascii="Calibri" w:hAnsi="Calibri" w:cs="Calibri,Bold"/>
                <w:bCs/>
                <w:sz w:val="22"/>
                <w:szCs w:val="22"/>
                <w:lang w:val="en-AU" w:eastAsia="zh-TW"/>
              </w:rPr>
              <w:t>Telephone: +61 2 8274 6000</w:t>
            </w:r>
          </w:p>
        </w:tc>
        <w:tc>
          <w:tcPr>
            <w:tcW w:w="4697" w:type="dxa"/>
          </w:tcPr>
          <w:p w:rsidR="00F30A48" w:rsidRPr="008B790F" w:rsidRDefault="00F30A48" w:rsidP="00F55E2E">
            <w:pPr>
              <w:autoSpaceDE w:val="0"/>
              <w:autoSpaceDN w:val="0"/>
              <w:adjustRightInd w:val="0"/>
              <w:jc w:val="both"/>
              <w:rPr>
                <w:rFonts w:ascii="Calibri" w:hAnsi="Calibri" w:cs="Calibri,Bold"/>
                <w:bCs/>
                <w:sz w:val="22"/>
                <w:szCs w:val="22"/>
                <w:lang w:val="en-AU" w:eastAsia="zh-TW"/>
              </w:rPr>
            </w:pPr>
          </w:p>
        </w:tc>
      </w:tr>
    </w:tbl>
    <w:p w:rsidR="00C92B75" w:rsidRPr="008B790F" w:rsidRDefault="00C92B75" w:rsidP="00F30A48">
      <w:pPr>
        <w:autoSpaceDE w:val="0"/>
        <w:autoSpaceDN w:val="0"/>
        <w:adjustRightInd w:val="0"/>
        <w:jc w:val="both"/>
        <w:rPr>
          <w:rFonts w:ascii="Calibri" w:hAnsi="Calibri" w:cs="Calibri,Bold"/>
          <w:bCs/>
          <w:sz w:val="22"/>
          <w:szCs w:val="22"/>
          <w:lang w:val="en-AU" w:eastAsia="zh-TW"/>
        </w:rPr>
      </w:pPr>
    </w:p>
    <w:p w:rsidR="00C92B75" w:rsidRPr="00521844" w:rsidRDefault="00C92B75" w:rsidP="00C92B75">
      <w:pPr>
        <w:autoSpaceDE w:val="0"/>
        <w:autoSpaceDN w:val="0"/>
        <w:adjustRightInd w:val="0"/>
        <w:jc w:val="both"/>
        <w:rPr>
          <w:rFonts w:ascii="Calibri" w:hAnsi="Calibri" w:cs="Calibri,Bold"/>
          <w:b/>
          <w:bCs/>
          <w:sz w:val="20"/>
          <w:szCs w:val="20"/>
          <w:lang w:val="en-AU" w:eastAsia="zh-TW"/>
        </w:rPr>
      </w:pPr>
    </w:p>
    <w:p w:rsidR="00B9433A" w:rsidRPr="00B9433A" w:rsidRDefault="00B9433A" w:rsidP="00B9433A">
      <w:pPr>
        <w:autoSpaceDE w:val="0"/>
        <w:autoSpaceDN w:val="0"/>
        <w:adjustRightInd w:val="0"/>
        <w:jc w:val="both"/>
        <w:rPr>
          <w:rFonts w:ascii="Calibri" w:hAnsi="Calibri" w:cs="Calibri,Bold"/>
          <w:b/>
          <w:bCs/>
          <w:sz w:val="20"/>
          <w:szCs w:val="20"/>
          <w:lang w:val="en-AU" w:eastAsia="zh-TW"/>
        </w:rPr>
      </w:pPr>
      <w:r w:rsidRPr="00B9433A">
        <w:rPr>
          <w:rFonts w:ascii="Calibri" w:hAnsi="Calibri" w:cs="Calibri,Bold"/>
          <w:b/>
          <w:bCs/>
          <w:sz w:val="20"/>
          <w:szCs w:val="20"/>
          <w:lang w:val="en-AU" w:eastAsia="zh-TW"/>
        </w:rPr>
        <w:t>About HUB24</w:t>
      </w:r>
    </w:p>
    <w:p w:rsidR="00B9433A" w:rsidRPr="00B9433A" w:rsidRDefault="00B9433A" w:rsidP="00B9433A">
      <w:pPr>
        <w:autoSpaceDE w:val="0"/>
        <w:autoSpaceDN w:val="0"/>
        <w:adjustRightInd w:val="0"/>
        <w:jc w:val="both"/>
        <w:rPr>
          <w:rFonts w:ascii="Calibri" w:hAnsi="Calibri" w:cs="Calibri,Bold"/>
          <w:bCs/>
          <w:sz w:val="20"/>
          <w:szCs w:val="20"/>
          <w:lang w:val="en-AU" w:eastAsia="zh-TW"/>
        </w:rPr>
      </w:pPr>
      <w:r w:rsidRPr="00B9433A">
        <w:rPr>
          <w:rFonts w:ascii="Calibri" w:hAnsi="Calibri" w:cs="Calibri,Bold"/>
          <w:bCs/>
          <w:sz w:val="20"/>
          <w:szCs w:val="20"/>
          <w:lang w:val="en-AU" w:eastAsia="zh-TW"/>
        </w:rPr>
        <w:t>HUB24 is a financial services company listed on the Australian Stock Exchange (ASX: HUB). The business is focussed on the delivery of the HUB24 platform, which supports the achievement of superior superannuation and investment outcomes for investors. HUB24 is a next-generation service with state-of-the-art portfolio management, transaction and reporting solutions for licensees, financial advisers, accountants, stockbrokers and institutions. HUB24 is not aligned to any major bank, manager or institution. HUB24 is an independent organisation with award winning technology and a growing number of respected and high profile financial services companies as its customers.</w:t>
      </w:r>
    </w:p>
    <w:p w:rsidR="00C92B75" w:rsidRPr="00521844" w:rsidRDefault="00C92B75" w:rsidP="00BD019A">
      <w:pPr>
        <w:autoSpaceDE w:val="0"/>
        <w:autoSpaceDN w:val="0"/>
        <w:adjustRightInd w:val="0"/>
        <w:jc w:val="both"/>
        <w:rPr>
          <w:rFonts w:ascii="Calibri" w:hAnsi="Calibri" w:cs="Calibri,Bold"/>
          <w:b/>
          <w:bCs/>
          <w:sz w:val="20"/>
          <w:szCs w:val="20"/>
          <w:lang w:val="en-AU" w:eastAsia="zh-TW"/>
        </w:rPr>
      </w:pPr>
      <w:r w:rsidRPr="00521844">
        <w:rPr>
          <w:rFonts w:ascii="Calibri" w:hAnsi="Calibri" w:cs="Calibri,Bold"/>
          <w:bCs/>
          <w:sz w:val="20"/>
          <w:szCs w:val="20"/>
          <w:lang w:val="en-AU" w:eastAsia="zh-TW"/>
        </w:rPr>
        <w:t xml:space="preserve">For further information, please visit: </w:t>
      </w:r>
      <w:hyperlink r:id="rId11" w:history="1">
        <w:r w:rsidRPr="00521844">
          <w:rPr>
            <w:rStyle w:val="Hyperlink"/>
            <w:rFonts w:ascii="Calibri" w:hAnsi="Calibri" w:cs="Calibri,Bold"/>
            <w:bCs/>
            <w:sz w:val="20"/>
            <w:szCs w:val="20"/>
            <w:lang w:val="en-AU" w:eastAsia="zh-TW"/>
          </w:rPr>
          <w:t>www.HUB24.com.au</w:t>
        </w:r>
      </w:hyperlink>
      <w:r w:rsidRPr="00521844">
        <w:rPr>
          <w:rFonts w:ascii="Calibri" w:hAnsi="Calibri" w:cs="Calibri,Bold"/>
          <w:bCs/>
          <w:sz w:val="20"/>
          <w:szCs w:val="20"/>
          <w:lang w:val="en-AU" w:eastAsia="zh-TW"/>
        </w:rPr>
        <w:t xml:space="preserve"> </w:t>
      </w:r>
    </w:p>
    <w:p w:rsidR="00E62859" w:rsidRDefault="00E62859" w:rsidP="00BD019A">
      <w:pPr>
        <w:jc w:val="both"/>
        <w:rPr>
          <w:sz w:val="20"/>
          <w:szCs w:val="20"/>
        </w:rPr>
      </w:pPr>
    </w:p>
    <w:p w:rsidR="0062214C" w:rsidRDefault="0062214C" w:rsidP="00BD019A">
      <w:pPr>
        <w:jc w:val="both"/>
        <w:rPr>
          <w:sz w:val="20"/>
          <w:szCs w:val="20"/>
        </w:rPr>
      </w:pPr>
    </w:p>
    <w:p w:rsidR="0062214C" w:rsidRDefault="0062214C" w:rsidP="00BD019A">
      <w:pPr>
        <w:jc w:val="both"/>
        <w:rPr>
          <w:sz w:val="20"/>
          <w:szCs w:val="20"/>
        </w:rPr>
      </w:pPr>
    </w:p>
    <w:p w:rsidR="0062214C" w:rsidRDefault="0062214C" w:rsidP="00BD019A">
      <w:pPr>
        <w:jc w:val="both"/>
        <w:rPr>
          <w:sz w:val="20"/>
          <w:szCs w:val="20"/>
        </w:rPr>
      </w:pPr>
    </w:p>
    <w:p w:rsidR="0062214C" w:rsidRDefault="0062214C" w:rsidP="00BD019A">
      <w:pPr>
        <w:jc w:val="both"/>
        <w:rPr>
          <w:sz w:val="20"/>
          <w:szCs w:val="20"/>
        </w:rPr>
      </w:pPr>
      <w:bookmarkStart w:id="0" w:name="_GoBack"/>
      <w:bookmarkEnd w:id="0"/>
    </w:p>
    <w:p w:rsidR="0062214C" w:rsidRDefault="0062214C" w:rsidP="00BD019A">
      <w:pPr>
        <w:jc w:val="both"/>
        <w:rPr>
          <w:sz w:val="20"/>
          <w:szCs w:val="20"/>
        </w:rPr>
      </w:pPr>
    </w:p>
    <w:p w:rsidR="0062214C" w:rsidRDefault="0062214C" w:rsidP="00BD019A">
      <w:pPr>
        <w:jc w:val="both"/>
        <w:rPr>
          <w:sz w:val="20"/>
          <w:szCs w:val="20"/>
        </w:rPr>
      </w:pPr>
    </w:p>
    <w:p w:rsidR="0062214C" w:rsidRDefault="0062214C" w:rsidP="00BD019A">
      <w:pPr>
        <w:jc w:val="both"/>
        <w:rPr>
          <w:sz w:val="20"/>
          <w:szCs w:val="20"/>
        </w:rPr>
      </w:pPr>
    </w:p>
    <w:p w:rsidR="0062214C" w:rsidRDefault="0062214C" w:rsidP="00BD019A">
      <w:pPr>
        <w:jc w:val="both"/>
        <w:rPr>
          <w:sz w:val="20"/>
          <w:szCs w:val="20"/>
        </w:rPr>
      </w:pPr>
    </w:p>
    <w:p w:rsidR="0062214C" w:rsidRDefault="0062214C" w:rsidP="00BD019A">
      <w:pPr>
        <w:jc w:val="both"/>
        <w:rPr>
          <w:sz w:val="20"/>
          <w:szCs w:val="20"/>
        </w:rPr>
      </w:pPr>
    </w:p>
    <w:p w:rsidR="0062214C" w:rsidRDefault="0062214C" w:rsidP="00BD019A">
      <w:pPr>
        <w:jc w:val="both"/>
        <w:rPr>
          <w:sz w:val="20"/>
          <w:szCs w:val="20"/>
        </w:rPr>
      </w:pPr>
    </w:p>
    <w:p w:rsidR="0062214C" w:rsidRDefault="0062214C" w:rsidP="00BD019A">
      <w:pPr>
        <w:jc w:val="both"/>
        <w:rPr>
          <w:sz w:val="20"/>
          <w:szCs w:val="20"/>
        </w:rPr>
      </w:pPr>
    </w:p>
    <w:p w:rsidR="0062214C" w:rsidRDefault="0062214C" w:rsidP="00BD019A">
      <w:pPr>
        <w:jc w:val="both"/>
        <w:rPr>
          <w:sz w:val="20"/>
          <w:szCs w:val="20"/>
        </w:rPr>
      </w:pPr>
    </w:p>
    <w:p w:rsidR="0062214C" w:rsidRDefault="0062214C" w:rsidP="00BD019A">
      <w:pPr>
        <w:jc w:val="both"/>
        <w:rPr>
          <w:sz w:val="20"/>
          <w:szCs w:val="20"/>
        </w:rPr>
      </w:pPr>
    </w:p>
    <w:p w:rsidR="0062214C" w:rsidRDefault="0062214C" w:rsidP="00BD019A">
      <w:pPr>
        <w:jc w:val="both"/>
        <w:rPr>
          <w:sz w:val="20"/>
          <w:szCs w:val="20"/>
        </w:rPr>
      </w:pPr>
    </w:p>
    <w:p w:rsidR="0062214C" w:rsidRDefault="0062214C" w:rsidP="00BD019A">
      <w:pPr>
        <w:jc w:val="both"/>
        <w:rPr>
          <w:sz w:val="20"/>
          <w:szCs w:val="20"/>
        </w:rPr>
      </w:pPr>
    </w:p>
    <w:p w:rsidR="0062214C" w:rsidRDefault="0062214C" w:rsidP="00BD019A">
      <w:pPr>
        <w:jc w:val="both"/>
        <w:rPr>
          <w:sz w:val="20"/>
          <w:szCs w:val="20"/>
        </w:rPr>
      </w:pPr>
    </w:p>
    <w:p w:rsidR="0062214C" w:rsidRDefault="0062214C" w:rsidP="00BD019A">
      <w:pPr>
        <w:jc w:val="both"/>
        <w:rPr>
          <w:sz w:val="20"/>
          <w:szCs w:val="20"/>
        </w:rPr>
      </w:pPr>
    </w:p>
    <w:p w:rsidR="0062214C" w:rsidRDefault="0062214C" w:rsidP="00BD019A">
      <w:pPr>
        <w:jc w:val="both"/>
        <w:rPr>
          <w:sz w:val="20"/>
          <w:szCs w:val="20"/>
        </w:rPr>
      </w:pPr>
    </w:p>
    <w:p w:rsidR="0062214C" w:rsidRDefault="0062214C" w:rsidP="00BD019A">
      <w:pPr>
        <w:jc w:val="both"/>
        <w:rPr>
          <w:sz w:val="20"/>
          <w:szCs w:val="20"/>
        </w:rPr>
      </w:pPr>
    </w:p>
    <w:p w:rsidR="0062214C" w:rsidRDefault="0062214C" w:rsidP="00BD019A">
      <w:pPr>
        <w:jc w:val="both"/>
        <w:rPr>
          <w:sz w:val="20"/>
          <w:szCs w:val="20"/>
        </w:rPr>
      </w:pPr>
    </w:p>
    <w:p w:rsidR="0062214C" w:rsidRDefault="0062214C" w:rsidP="00BD019A">
      <w:pPr>
        <w:jc w:val="both"/>
        <w:rPr>
          <w:sz w:val="20"/>
          <w:szCs w:val="20"/>
        </w:rPr>
      </w:pPr>
    </w:p>
    <w:p w:rsidR="0062214C" w:rsidRDefault="0062214C" w:rsidP="00BD019A">
      <w:pPr>
        <w:jc w:val="both"/>
        <w:rPr>
          <w:sz w:val="20"/>
          <w:szCs w:val="20"/>
        </w:rPr>
      </w:pPr>
    </w:p>
    <w:p w:rsidR="0062214C" w:rsidRPr="00521844" w:rsidRDefault="0062214C" w:rsidP="00BD019A">
      <w:pPr>
        <w:jc w:val="both"/>
        <w:rPr>
          <w:sz w:val="20"/>
          <w:szCs w:val="20"/>
        </w:rPr>
      </w:pPr>
    </w:p>
    <w:sectPr w:rsidR="0062214C" w:rsidRPr="00521844" w:rsidSect="003D1619">
      <w:headerReference w:type="even" r:id="rId12"/>
      <w:headerReference w:type="default" r:id="rId13"/>
      <w:footerReference w:type="even" r:id="rId14"/>
      <w:footerReference w:type="default" r:id="rId15"/>
      <w:headerReference w:type="first" r:id="rId16"/>
      <w:footerReference w:type="first" r:id="rId17"/>
      <w:pgSz w:w="11900" w:h="16840"/>
      <w:pgMar w:top="1701" w:right="1418" w:bottom="1560" w:left="1418" w:header="851"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6F0" w:rsidRDefault="00CD16F0" w:rsidP="0004066A">
      <w:r>
        <w:separator/>
      </w:r>
    </w:p>
  </w:endnote>
  <w:endnote w:type="continuationSeparator" w:id="0">
    <w:p w:rsidR="00CD16F0" w:rsidRDefault="00CD16F0" w:rsidP="0004066A">
      <w:r>
        <w:continuationSeparator/>
      </w:r>
    </w:p>
  </w:endnote>
  <w:endnote w:id="1">
    <w:p w:rsidR="0062214C" w:rsidRDefault="0062214C" w:rsidP="00AC35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DIN-Regular">
    <w:charset w:val="00"/>
    <w:family w:val="auto"/>
    <w:pitch w:val="variable"/>
    <w:sig w:usb0="800000AF" w:usb1="40002048" w:usb2="00000000" w:usb3="00000000" w:csb0="00000111" w:csb1="00000000"/>
  </w:font>
  <w:font w:name="DIN-Medium">
    <w:charset w:val="00"/>
    <w:family w:val="auto"/>
    <w:pitch w:val="variable"/>
    <w:sig w:usb0="800000AF" w:usb1="40002048" w:usb2="00000000" w:usb3="00000000" w:csb0="00000111" w:csb1="00000000"/>
  </w:font>
  <w:font w:name="DIN-Bold">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Bold">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BD" w:rsidRDefault="001E4C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7189" w:rsidRPr="008B790F" w:rsidRDefault="00B209E8" w:rsidP="00E57189">
    <w:pPr>
      <w:pStyle w:val="LegalInfo"/>
      <w:rPr>
        <w:rFonts w:ascii="Calibri" w:hAnsi="Calibri"/>
        <w:color w:val="595959"/>
        <w:sz w:val="16"/>
        <w:szCs w:val="16"/>
      </w:rPr>
    </w:pPr>
    <w:r>
      <w:rPr>
        <w:noProof/>
        <w:lang w:val="en-AU" w:eastAsia="en-AU"/>
      </w:rPr>
      <w:drawing>
        <wp:anchor distT="0" distB="0" distL="114300" distR="114300" simplePos="0" relativeHeight="251657728" behindDoc="1" locked="0" layoutInCell="1" allowOverlap="1">
          <wp:simplePos x="0" y="0"/>
          <wp:positionH relativeFrom="column">
            <wp:posOffset>-1256030</wp:posOffset>
          </wp:positionH>
          <wp:positionV relativeFrom="paragraph">
            <wp:posOffset>-591820</wp:posOffset>
          </wp:positionV>
          <wp:extent cx="7555865" cy="1520825"/>
          <wp:effectExtent l="0" t="0" r="6985" b="317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520825"/>
                  </a:xfrm>
                  <a:prstGeom prst="rect">
                    <a:avLst/>
                  </a:prstGeom>
                  <a:noFill/>
                  <a:ln>
                    <a:noFill/>
                  </a:ln>
                </pic:spPr>
              </pic:pic>
            </a:graphicData>
          </a:graphic>
          <wp14:sizeRelH relativeFrom="page">
            <wp14:pctWidth>0</wp14:pctWidth>
          </wp14:sizeRelH>
          <wp14:sizeRelV relativeFrom="page">
            <wp14:pctHeight>0</wp14:pctHeight>
          </wp14:sizeRelV>
        </wp:anchor>
      </w:drawing>
    </w:r>
    <w:r w:rsidR="00E57189" w:rsidRPr="008B790F">
      <w:rPr>
        <w:rStyle w:val="BOLD"/>
        <w:rFonts w:ascii="Calibri" w:hAnsi="Calibri"/>
        <w:b/>
        <w:color w:val="595959"/>
        <w:sz w:val="16"/>
        <w:szCs w:val="16"/>
      </w:rPr>
      <w:t xml:space="preserve">HUB24 </w:t>
    </w:r>
    <w:proofErr w:type="gramStart"/>
    <w:r w:rsidR="00C6722F" w:rsidRPr="008B790F">
      <w:rPr>
        <w:rStyle w:val="BOLD"/>
        <w:rFonts w:ascii="Calibri" w:hAnsi="Calibri"/>
        <w:b/>
        <w:color w:val="595959"/>
        <w:sz w:val="16"/>
        <w:szCs w:val="16"/>
      </w:rPr>
      <w:t>Limited</w:t>
    </w:r>
    <w:r w:rsidR="003F7728" w:rsidRPr="008B790F">
      <w:rPr>
        <w:rStyle w:val="BOLD"/>
        <w:rFonts w:ascii="Calibri" w:hAnsi="Calibri"/>
        <w:color w:val="595959"/>
        <w:sz w:val="16"/>
        <w:szCs w:val="16"/>
      </w:rPr>
      <w:t xml:space="preserve">  </w:t>
    </w:r>
    <w:r w:rsidR="003F7728" w:rsidRPr="008B790F">
      <w:rPr>
        <w:rStyle w:val="BOLD"/>
        <w:rFonts w:ascii="Calibri" w:hAnsi="Calibri"/>
        <w:color w:val="1388B3"/>
        <w:sz w:val="16"/>
        <w:szCs w:val="16"/>
      </w:rPr>
      <w:t>|</w:t>
    </w:r>
    <w:proofErr w:type="gramEnd"/>
    <w:r w:rsidR="003F7728" w:rsidRPr="008B790F">
      <w:rPr>
        <w:rStyle w:val="BOLD"/>
        <w:rFonts w:ascii="Calibri" w:hAnsi="Calibri"/>
        <w:color w:val="595959"/>
        <w:sz w:val="16"/>
        <w:szCs w:val="16"/>
      </w:rPr>
      <w:t xml:space="preserve">  </w:t>
    </w:r>
    <w:r w:rsidR="00E57189" w:rsidRPr="008B790F">
      <w:rPr>
        <w:rFonts w:ascii="Calibri" w:hAnsi="Calibri"/>
        <w:color w:val="595959"/>
        <w:sz w:val="16"/>
        <w:szCs w:val="16"/>
      </w:rPr>
      <w:t xml:space="preserve">ABN </w:t>
    </w:r>
    <w:r w:rsidR="00C6722F" w:rsidRPr="008B790F">
      <w:rPr>
        <w:rFonts w:ascii="Calibri" w:hAnsi="Calibri"/>
        <w:color w:val="595959"/>
        <w:sz w:val="16"/>
        <w:szCs w:val="16"/>
      </w:rPr>
      <w:t>87 124 891 685</w:t>
    </w:r>
    <w:r w:rsidR="003F7728" w:rsidRPr="008B790F">
      <w:rPr>
        <w:rFonts w:ascii="Calibri" w:hAnsi="Calibri"/>
        <w:color w:val="595959"/>
        <w:sz w:val="16"/>
        <w:szCs w:val="16"/>
      </w:rPr>
      <w:t xml:space="preserve">  </w:t>
    </w:r>
    <w:r w:rsidR="003F7728" w:rsidRPr="008B790F">
      <w:rPr>
        <w:rFonts w:ascii="Calibri" w:hAnsi="Calibri"/>
        <w:color w:val="1388B3"/>
        <w:sz w:val="16"/>
        <w:szCs w:val="16"/>
      </w:rPr>
      <w:t>|</w:t>
    </w:r>
    <w:r w:rsidR="003F7728" w:rsidRPr="008B790F">
      <w:rPr>
        <w:rFonts w:ascii="Calibri" w:hAnsi="Calibri"/>
        <w:color w:val="595959"/>
        <w:sz w:val="16"/>
        <w:szCs w:val="16"/>
      </w:rPr>
      <w:t xml:space="preserve">  </w:t>
    </w:r>
    <w:r w:rsidR="00C6722F" w:rsidRPr="008B790F">
      <w:rPr>
        <w:rFonts w:ascii="Calibri" w:hAnsi="Calibri"/>
        <w:color w:val="595959"/>
        <w:sz w:val="16"/>
        <w:szCs w:val="16"/>
      </w:rPr>
      <w:t>ACN 124 891 685</w:t>
    </w:r>
  </w:p>
  <w:p w:rsidR="00E57189" w:rsidRPr="008B790F" w:rsidRDefault="00E57189" w:rsidP="00E57189">
    <w:pPr>
      <w:pStyle w:val="AddressDetails"/>
      <w:spacing w:after="40"/>
      <w:rPr>
        <w:rFonts w:ascii="Calibri" w:hAnsi="Calibri" w:cs="DIN-Bold"/>
        <w:b/>
        <w:bCs/>
        <w:color w:val="595959"/>
        <w:sz w:val="16"/>
        <w:szCs w:val="16"/>
      </w:rPr>
    </w:pPr>
    <w:r w:rsidRPr="008B790F">
      <w:rPr>
        <w:rFonts w:ascii="Calibri" w:hAnsi="Calibri"/>
        <w:color w:val="595959"/>
        <w:sz w:val="16"/>
        <w:szCs w:val="16"/>
      </w:rPr>
      <w:t>GPO Box 529, Sydney</w:t>
    </w:r>
    <w:r w:rsidR="003F7728" w:rsidRPr="008B790F">
      <w:rPr>
        <w:rFonts w:ascii="Calibri" w:hAnsi="Calibri"/>
        <w:color w:val="595959"/>
        <w:sz w:val="16"/>
        <w:szCs w:val="16"/>
      </w:rPr>
      <w:t>,</w:t>
    </w:r>
    <w:r w:rsidR="005C6619" w:rsidRPr="008B790F">
      <w:rPr>
        <w:rFonts w:ascii="Calibri" w:hAnsi="Calibri"/>
        <w:color w:val="595959"/>
        <w:sz w:val="16"/>
        <w:szCs w:val="16"/>
      </w:rPr>
      <w:t xml:space="preserve"> NSW 2001    Level 8</w:t>
    </w:r>
    <w:r w:rsidR="008C47BA" w:rsidRPr="008B790F">
      <w:rPr>
        <w:rFonts w:ascii="Calibri" w:hAnsi="Calibri"/>
        <w:color w:val="595959"/>
        <w:sz w:val="16"/>
        <w:szCs w:val="16"/>
      </w:rPr>
      <w:t xml:space="preserve"> Exchange Centre</w:t>
    </w:r>
    <w:r w:rsidRPr="008B790F">
      <w:rPr>
        <w:rFonts w:ascii="Calibri" w:hAnsi="Calibri"/>
        <w:color w:val="595959"/>
        <w:sz w:val="16"/>
        <w:szCs w:val="16"/>
      </w:rPr>
      <w:t>,</w:t>
    </w:r>
    <w:r w:rsidR="005C6619" w:rsidRPr="008B790F">
      <w:rPr>
        <w:rFonts w:ascii="Calibri" w:hAnsi="Calibri"/>
        <w:color w:val="595959"/>
        <w:sz w:val="16"/>
        <w:szCs w:val="16"/>
      </w:rPr>
      <w:t xml:space="preserve"> 20 Bridge St</w:t>
    </w:r>
    <w:r w:rsidR="003F7728" w:rsidRPr="008B790F">
      <w:rPr>
        <w:rFonts w:ascii="Calibri" w:hAnsi="Calibri"/>
        <w:color w:val="595959"/>
        <w:sz w:val="16"/>
        <w:szCs w:val="16"/>
      </w:rPr>
      <w:t>,</w:t>
    </w:r>
    <w:r w:rsidRPr="008B790F">
      <w:rPr>
        <w:rFonts w:ascii="Calibri" w:hAnsi="Calibri"/>
        <w:color w:val="595959"/>
        <w:sz w:val="16"/>
        <w:szCs w:val="16"/>
      </w:rPr>
      <w:t xml:space="preserve"> Sydney</w:t>
    </w:r>
    <w:r w:rsidR="003F7728" w:rsidRPr="008B790F">
      <w:rPr>
        <w:rFonts w:ascii="Calibri" w:hAnsi="Calibri"/>
        <w:color w:val="595959"/>
        <w:sz w:val="16"/>
        <w:szCs w:val="16"/>
      </w:rPr>
      <w:t>,</w:t>
    </w:r>
    <w:r w:rsidRPr="008B790F">
      <w:rPr>
        <w:rFonts w:ascii="Calibri" w:hAnsi="Calibri"/>
        <w:color w:val="595959"/>
        <w:sz w:val="16"/>
        <w:szCs w:val="16"/>
      </w:rPr>
      <w:t xml:space="preserve"> NSW 2000 Australia</w:t>
    </w:r>
  </w:p>
  <w:p w:rsidR="00E57189" w:rsidRPr="008B790F" w:rsidRDefault="00E57189" w:rsidP="00E57189">
    <w:pPr>
      <w:pStyle w:val="Footer"/>
      <w:spacing w:after="40"/>
      <w:rPr>
        <w:rFonts w:ascii="Calibri" w:hAnsi="Calibri"/>
        <w:color w:val="595959"/>
        <w:sz w:val="16"/>
        <w:szCs w:val="16"/>
      </w:rPr>
    </w:pPr>
    <w:proofErr w:type="gramStart"/>
    <w:r w:rsidRPr="008B790F">
      <w:rPr>
        <w:rStyle w:val="BOLD299PREFIX"/>
        <w:rFonts w:ascii="Calibri" w:hAnsi="Calibri"/>
        <w:color w:val="1388B3"/>
        <w:sz w:val="16"/>
        <w:szCs w:val="16"/>
      </w:rPr>
      <w:t>T</w:t>
    </w:r>
    <w:r w:rsidRPr="008B790F">
      <w:rPr>
        <w:rFonts w:ascii="Calibri" w:hAnsi="Calibri"/>
        <w:color w:val="1388B3"/>
        <w:sz w:val="16"/>
        <w:szCs w:val="16"/>
      </w:rPr>
      <w:t xml:space="preserve">  </w:t>
    </w:r>
    <w:r w:rsidR="006F0B97" w:rsidRPr="008B790F">
      <w:rPr>
        <w:rFonts w:ascii="Calibri" w:hAnsi="Calibri"/>
        <w:color w:val="595959"/>
        <w:sz w:val="16"/>
        <w:szCs w:val="16"/>
      </w:rPr>
      <w:t>+</w:t>
    </w:r>
    <w:proofErr w:type="gramEnd"/>
    <w:r w:rsidR="006F0B97" w:rsidRPr="008B790F">
      <w:rPr>
        <w:rFonts w:ascii="Calibri" w:hAnsi="Calibri"/>
        <w:color w:val="595959"/>
        <w:sz w:val="16"/>
        <w:szCs w:val="16"/>
      </w:rPr>
      <w:t>61 2 8274 6000</w:t>
    </w:r>
    <w:r w:rsidRPr="008B790F">
      <w:rPr>
        <w:rFonts w:ascii="Calibri" w:hAnsi="Calibri"/>
        <w:color w:val="595959"/>
        <w:sz w:val="16"/>
        <w:szCs w:val="16"/>
      </w:rPr>
      <w:t xml:space="preserve">    </w:t>
    </w:r>
    <w:r w:rsidRPr="008B790F">
      <w:rPr>
        <w:rStyle w:val="BOLD299PREFIX"/>
        <w:rFonts w:ascii="Calibri" w:hAnsi="Calibri"/>
        <w:color w:val="1388B3"/>
        <w:sz w:val="16"/>
        <w:szCs w:val="16"/>
      </w:rPr>
      <w:t>F</w:t>
    </w:r>
    <w:r w:rsidRPr="008B790F">
      <w:rPr>
        <w:rFonts w:ascii="Calibri" w:hAnsi="Calibri"/>
        <w:color w:val="1388B3"/>
        <w:sz w:val="16"/>
        <w:szCs w:val="16"/>
      </w:rPr>
      <w:t xml:space="preserve">  </w:t>
    </w:r>
    <w:r w:rsidR="006F0B97" w:rsidRPr="008B790F">
      <w:rPr>
        <w:rFonts w:ascii="Calibri" w:hAnsi="Calibri"/>
        <w:color w:val="595959"/>
        <w:sz w:val="16"/>
        <w:szCs w:val="16"/>
      </w:rPr>
      <w:t>1300 781 689</w:t>
    </w:r>
    <w:r w:rsidRPr="008B790F">
      <w:rPr>
        <w:rFonts w:ascii="Calibri" w:hAnsi="Calibri"/>
        <w:color w:val="595959"/>
        <w:sz w:val="16"/>
        <w:szCs w:val="16"/>
      </w:rPr>
      <w:t xml:space="preserve">    </w:t>
    </w:r>
    <w:r w:rsidRPr="008B790F">
      <w:rPr>
        <w:rStyle w:val="BOLD299PREFIX"/>
        <w:rFonts w:ascii="Calibri" w:hAnsi="Calibri"/>
        <w:color w:val="1388B3"/>
        <w:sz w:val="16"/>
        <w:szCs w:val="16"/>
      </w:rPr>
      <w:t>W</w:t>
    </w:r>
    <w:r w:rsidRPr="008B790F">
      <w:rPr>
        <w:rFonts w:ascii="Calibri" w:hAnsi="Calibri"/>
        <w:color w:val="1388B3"/>
        <w:sz w:val="16"/>
        <w:szCs w:val="16"/>
      </w:rPr>
      <w:t xml:space="preserve">  </w:t>
    </w:r>
    <w:r w:rsidR="00C6722F" w:rsidRPr="008B790F">
      <w:rPr>
        <w:rFonts w:ascii="Calibri" w:hAnsi="Calibri"/>
        <w:color w:val="595959"/>
        <w:sz w:val="16"/>
        <w:szCs w:val="16"/>
      </w:rPr>
      <w:t>hub</w:t>
    </w:r>
    <w:r w:rsidRPr="008B790F">
      <w:rPr>
        <w:rFonts w:ascii="Calibri" w:hAnsi="Calibri"/>
        <w:color w:val="595959"/>
        <w:sz w:val="16"/>
        <w:szCs w:val="16"/>
      </w:rPr>
      <w:t>24.com.au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BD" w:rsidRDefault="001E4C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6F0" w:rsidRDefault="00CD16F0" w:rsidP="0004066A">
      <w:r>
        <w:separator/>
      </w:r>
    </w:p>
  </w:footnote>
  <w:footnote w:type="continuationSeparator" w:id="0">
    <w:p w:rsidR="00CD16F0" w:rsidRDefault="00CD16F0" w:rsidP="0004066A">
      <w:r>
        <w:continuationSeparator/>
      </w:r>
    </w:p>
  </w:footnote>
  <w:footnote w:id="1">
    <w:p w:rsidR="00956BFA" w:rsidRPr="003C193B" w:rsidRDefault="00956BFA">
      <w:pPr>
        <w:pStyle w:val="FootnoteText"/>
        <w:rPr>
          <w:sz w:val="18"/>
          <w:lang w:val="en-AU"/>
        </w:rPr>
      </w:pPr>
      <w:r>
        <w:rPr>
          <w:rStyle w:val="FootnoteReference"/>
        </w:rPr>
        <w:footnoteRef/>
      </w:r>
      <w:r>
        <w:t xml:space="preserve"> </w:t>
      </w:r>
      <w:r w:rsidRPr="004A53DD">
        <w:rPr>
          <w:rFonts w:ascii="Calibri" w:hAnsi="Calibri"/>
          <w:sz w:val="18"/>
          <w:lang w:val="en-AU"/>
        </w:rPr>
        <w:t>Net Inflows represents gross inflows less outflows during the</w:t>
      </w:r>
      <w:r w:rsidR="0027189B">
        <w:rPr>
          <w:rFonts w:ascii="Calibri" w:hAnsi="Calibri"/>
          <w:sz w:val="18"/>
          <w:lang w:val="en-AU"/>
        </w:rPr>
        <w:t xml:space="preserve"> period and does not include</w:t>
      </w:r>
      <w:r w:rsidRPr="004A53DD">
        <w:rPr>
          <w:rFonts w:ascii="Calibri" w:hAnsi="Calibri"/>
          <w:sz w:val="18"/>
          <w:lang w:val="en-AU"/>
        </w:rPr>
        <w:t xml:space="preserve"> market movement</w:t>
      </w:r>
      <w:r w:rsidR="00420880" w:rsidRPr="004A53DD">
        <w:rPr>
          <w:rFonts w:ascii="Calibri" w:hAnsi="Calibri"/>
          <w:sz w:val="18"/>
          <w:lang w:val="en-AU"/>
        </w:rPr>
        <w:t>.</w:t>
      </w:r>
    </w:p>
  </w:footnote>
  <w:footnote w:id="2">
    <w:p w:rsidR="00310ED4" w:rsidRPr="001E3D8D" w:rsidRDefault="00310ED4">
      <w:pPr>
        <w:pStyle w:val="FootnoteText"/>
        <w:rPr>
          <w:rFonts w:ascii="Calibri" w:hAnsi="Calibri"/>
          <w:lang w:val="en-AU"/>
        </w:rPr>
      </w:pPr>
      <w:r w:rsidRPr="001E3D8D">
        <w:rPr>
          <w:rStyle w:val="FootnoteReference"/>
          <w:rFonts w:ascii="Calibri" w:hAnsi="Calibri"/>
        </w:rPr>
        <w:footnoteRef/>
      </w:r>
      <w:r w:rsidRPr="001E3D8D">
        <w:rPr>
          <w:rFonts w:ascii="Calibri" w:hAnsi="Calibri"/>
        </w:rPr>
        <w:t xml:space="preserve"> </w:t>
      </w:r>
      <w:r w:rsidR="00237BF6" w:rsidRPr="001E3D8D">
        <w:rPr>
          <w:rFonts w:ascii="Calibri" w:hAnsi="Calibri"/>
          <w:lang w:val="en-AU"/>
        </w:rPr>
        <w:t>BRW 50 Most Innovative Companies – published 10 October 2014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BD" w:rsidRDefault="001E4C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066A" w:rsidRDefault="00C6722F" w:rsidP="00D901E1">
    <w:pPr>
      <w:pStyle w:val="Header"/>
      <w:jc w:val="right"/>
    </w:pPr>
    <w:r>
      <w:t xml:space="preserve"> </w:t>
    </w:r>
    <w:r w:rsidR="00B209E8" w:rsidRPr="008B790F">
      <w:rPr>
        <w:noProof/>
        <w:lang w:val="en-AU" w:eastAsia="en-AU"/>
      </w:rPr>
      <w:drawing>
        <wp:inline distT="0" distB="0" distL="0" distR="0">
          <wp:extent cx="1566545" cy="445135"/>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6545" cy="445135"/>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CBD" w:rsidRDefault="001E4C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13F2A5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1EB5CFB"/>
    <w:multiLevelType w:val="hybridMultilevel"/>
    <w:tmpl w:val="97B6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B9348F"/>
    <w:multiLevelType w:val="hybridMultilevel"/>
    <w:tmpl w:val="F9F60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D22536A"/>
    <w:multiLevelType w:val="hybridMultilevel"/>
    <w:tmpl w:val="7E5AE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583B070E"/>
    <w:multiLevelType w:val="singleLevel"/>
    <w:tmpl w:val="845640F6"/>
    <w:lvl w:ilvl="0">
      <w:start w:val="1"/>
      <w:numFmt w:val="bullet"/>
      <w:lvlText w:val="·"/>
      <w:lvlJc w:val="left"/>
      <w:pPr>
        <w:tabs>
          <w:tab w:val="num" w:pos="680"/>
        </w:tabs>
        <w:ind w:left="680" w:hanging="680"/>
      </w:pPr>
      <w:rPr>
        <w:rFonts w:ascii="Symbol" w:hAnsi="Symbol" w:hint="default"/>
      </w:rPr>
    </w:lvl>
  </w:abstractNum>
  <w:abstractNum w:abstractNumId="5">
    <w:nsid w:val="5C236CFA"/>
    <w:multiLevelType w:val="hybridMultilevel"/>
    <w:tmpl w:val="21681A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18F4454"/>
    <w:multiLevelType w:val="hybridMultilevel"/>
    <w:tmpl w:val="39F62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7F3C79CF"/>
    <w:multiLevelType w:val="hybridMultilevel"/>
    <w:tmpl w:val="AD4EFD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66A"/>
    <w:rsid w:val="00006A3B"/>
    <w:rsid w:val="00013499"/>
    <w:rsid w:val="000144B7"/>
    <w:rsid w:val="000147AE"/>
    <w:rsid w:val="00023E8B"/>
    <w:rsid w:val="0004066A"/>
    <w:rsid w:val="00040B89"/>
    <w:rsid w:val="00051FB7"/>
    <w:rsid w:val="00057E08"/>
    <w:rsid w:val="0006538B"/>
    <w:rsid w:val="00090159"/>
    <w:rsid w:val="000C0976"/>
    <w:rsid w:val="000E398D"/>
    <w:rsid w:val="000F235F"/>
    <w:rsid w:val="000F688C"/>
    <w:rsid w:val="0010577F"/>
    <w:rsid w:val="00105EC5"/>
    <w:rsid w:val="001071A7"/>
    <w:rsid w:val="001124B8"/>
    <w:rsid w:val="00112A8B"/>
    <w:rsid w:val="00115097"/>
    <w:rsid w:val="00136B9E"/>
    <w:rsid w:val="001511F0"/>
    <w:rsid w:val="00156A42"/>
    <w:rsid w:val="00171552"/>
    <w:rsid w:val="001746AC"/>
    <w:rsid w:val="001760A3"/>
    <w:rsid w:val="00176D86"/>
    <w:rsid w:val="00180DF7"/>
    <w:rsid w:val="001816CD"/>
    <w:rsid w:val="00183EA2"/>
    <w:rsid w:val="00191FEF"/>
    <w:rsid w:val="00192023"/>
    <w:rsid w:val="001929C0"/>
    <w:rsid w:val="001C1658"/>
    <w:rsid w:val="001D77FC"/>
    <w:rsid w:val="001E3D8D"/>
    <w:rsid w:val="001E4CBD"/>
    <w:rsid w:val="001F4B35"/>
    <w:rsid w:val="001F4D6B"/>
    <w:rsid w:val="00216771"/>
    <w:rsid w:val="00221CC9"/>
    <w:rsid w:val="0022642A"/>
    <w:rsid w:val="002271D6"/>
    <w:rsid w:val="00231707"/>
    <w:rsid w:val="00237BF6"/>
    <w:rsid w:val="00243066"/>
    <w:rsid w:val="002539B2"/>
    <w:rsid w:val="00256422"/>
    <w:rsid w:val="002646E0"/>
    <w:rsid w:val="00267372"/>
    <w:rsid w:val="0027189B"/>
    <w:rsid w:val="002840E5"/>
    <w:rsid w:val="002915A9"/>
    <w:rsid w:val="002926BF"/>
    <w:rsid w:val="002B71CC"/>
    <w:rsid w:val="002C037C"/>
    <w:rsid w:val="002C30BC"/>
    <w:rsid w:val="002D0F51"/>
    <w:rsid w:val="00310ED4"/>
    <w:rsid w:val="00323267"/>
    <w:rsid w:val="00342C1F"/>
    <w:rsid w:val="003450D3"/>
    <w:rsid w:val="00355571"/>
    <w:rsid w:val="00366A54"/>
    <w:rsid w:val="00371EB9"/>
    <w:rsid w:val="003A0497"/>
    <w:rsid w:val="003A19D1"/>
    <w:rsid w:val="003C193B"/>
    <w:rsid w:val="003D1619"/>
    <w:rsid w:val="003F5057"/>
    <w:rsid w:val="003F51F8"/>
    <w:rsid w:val="003F7728"/>
    <w:rsid w:val="004138F7"/>
    <w:rsid w:val="00413D83"/>
    <w:rsid w:val="00414F50"/>
    <w:rsid w:val="00420880"/>
    <w:rsid w:val="00425593"/>
    <w:rsid w:val="00436A2D"/>
    <w:rsid w:val="00440358"/>
    <w:rsid w:val="00454EA3"/>
    <w:rsid w:val="00467E91"/>
    <w:rsid w:val="00470C3B"/>
    <w:rsid w:val="00493CDC"/>
    <w:rsid w:val="004A0438"/>
    <w:rsid w:val="004A53DD"/>
    <w:rsid w:val="004E6B68"/>
    <w:rsid w:val="004F64F1"/>
    <w:rsid w:val="00503A33"/>
    <w:rsid w:val="00521844"/>
    <w:rsid w:val="005279EF"/>
    <w:rsid w:val="00535D31"/>
    <w:rsid w:val="00556DC8"/>
    <w:rsid w:val="00564A0C"/>
    <w:rsid w:val="00573F51"/>
    <w:rsid w:val="005B54E3"/>
    <w:rsid w:val="005C6619"/>
    <w:rsid w:val="005D2B83"/>
    <w:rsid w:val="005E0F21"/>
    <w:rsid w:val="005E5C48"/>
    <w:rsid w:val="005F2B37"/>
    <w:rsid w:val="00614B1A"/>
    <w:rsid w:val="0062214C"/>
    <w:rsid w:val="00623499"/>
    <w:rsid w:val="0063027D"/>
    <w:rsid w:val="00643340"/>
    <w:rsid w:val="0064356C"/>
    <w:rsid w:val="006717A2"/>
    <w:rsid w:val="0067293F"/>
    <w:rsid w:val="006C6BFB"/>
    <w:rsid w:val="006C7F3E"/>
    <w:rsid w:val="006D366C"/>
    <w:rsid w:val="006D5C2E"/>
    <w:rsid w:val="006D76B7"/>
    <w:rsid w:val="006F07CE"/>
    <w:rsid w:val="006F0B97"/>
    <w:rsid w:val="006F2C2A"/>
    <w:rsid w:val="006F7734"/>
    <w:rsid w:val="007201C2"/>
    <w:rsid w:val="00721B54"/>
    <w:rsid w:val="007312CB"/>
    <w:rsid w:val="0074404F"/>
    <w:rsid w:val="00751082"/>
    <w:rsid w:val="007577B0"/>
    <w:rsid w:val="0078244B"/>
    <w:rsid w:val="00792E78"/>
    <w:rsid w:val="007B12AA"/>
    <w:rsid w:val="007B6769"/>
    <w:rsid w:val="007C705B"/>
    <w:rsid w:val="007E6D5B"/>
    <w:rsid w:val="007F02AB"/>
    <w:rsid w:val="007F6D45"/>
    <w:rsid w:val="00821DAB"/>
    <w:rsid w:val="008316AE"/>
    <w:rsid w:val="00843843"/>
    <w:rsid w:val="00850D84"/>
    <w:rsid w:val="008623B6"/>
    <w:rsid w:val="00883213"/>
    <w:rsid w:val="00886ED0"/>
    <w:rsid w:val="008903A5"/>
    <w:rsid w:val="00896F54"/>
    <w:rsid w:val="008A47BF"/>
    <w:rsid w:val="008B0B54"/>
    <w:rsid w:val="008B426F"/>
    <w:rsid w:val="008B790F"/>
    <w:rsid w:val="008C47BA"/>
    <w:rsid w:val="008D17DC"/>
    <w:rsid w:val="008E048B"/>
    <w:rsid w:val="00911829"/>
    <w:rsid w:val="0093372E"/>
    <w:rsid w:val="0093390F"/>
    <w:rsid w:val="00933CCA"/>
    <w:rsid w:val="009437A9"/>
    <w:rsid w:val="0095554A"/>
    <w:rsid w:val="00956BFA"/>
    <w:rsid w:val="00967D71"/>
    <w:rsid w:val="00973120"/>
    <w:rsid w:val="009774A5"/>
    <w:rsid w:val="009B16D0"/>
    <w:rsid w:val="009B775D"/>
    <w:rsid w:val="009D65C8"/>
    <w:rsid w:val="009D75BA"/>
    <w:rsid w:val="009F18DA"/>
    <w:rsid w:val="009F2F8D"/>
    <w:rsid w:val="00A20AA3"/>
    <w:rsid w:val="00A2352E"/>
    <w:rsid w:val="00A45BCA"/>
    <w:rsid w:val="00A56351"/>
    <w:rsid w:val="00A56C24"/>
    <w:rsid w:val="00A61C69"/>
    <w:rsid w:val="00A63A4A"/>
    <w:rsid w:val="00A737A5"/>
    <w:rsid w:val="00A744C2"/>
    <w:rsid w:val="00A95846"/>
    <w:rsid w:val="00AA48FE"/>
    <w:rsid w:val="00AC3567"/>
    <w:rsid w:val="00AD2E6E"/>
    <w:rsid w:val="00AD4771"/>
    <w:rsid w:val="00AE1DD8"/>
    <w:rsid w:val="00AE74AB"/>
    <w:rsid w:val="00B021BE"/>
    <w:rsid w:val="00B04A57"/>
    <w:rsid w:val="00B155DC"/>
    <w:rsid w:val="00B15CEA"/>
    <w:rsid w:val="00B209E8"/>
    <w:rsid w:val="00B25901"/>
    <w:rsid w:val="00B32760"/>
    <w:rsid w:val="00B37475"/>
    <w:rsid w:val="00B43A95"/>
    <w:rsid w:val="00B70BD5"/>
    <w:rsid w:val="00B80631"/>
    <w:rsid w:val="00B93A9F"/>
    <w:rsid w:val="00B9433A"/>
    <w:rsid w:val="00B96717"/>
    <w:rsid w:val="00BB030B"/>
    <w:rsid w:val="00BB7A99"/>
    <w:rsid w:val="00BD019A"/>
    <w:rsid w:val="00BD46C1"/>
    <w:rsid w:val="00BE3D23"/>
    <w:rsid w:val="00BE74E7"/>
    <w:rsid w:val="00BE7807"/>
    <w:rsid w:val="00BF761A"/>
    <w:rsid w:val="00C034C3"/>
    <w:rsid w:val="00C164FC"/>
    <w:rsid w:val="00C332A3"/>
    <w:rsid w:val="00C3408B"/>
    <w:rsid w:val="00C40174"/>
    <w:rsid w:val="00C4067B"/>
    <w:rsid w:val="00C40C18"/>
    <w:rsid w:val="00C622EC"/>
    <w:rsid w:val="00C64F0A"/>
    <w:rsid w:val="00C6722F"/>
    <w:rsid w:val="00C710D3"/>
    <w:rsid w:val="00C73556"/>
    <w:rsid w:val="00C80E7B"/>
    <w:rsid w:val="00C92B75"/>
    <w:rsid w:val="00C94414"/>
    <w:rsid w:val="00CA3849"/>
    <w:rsid w:val="00CB4018"/>
    <w:rsid w:val="00CD13B0"/>
    <w:rsid w:val="00CD16F0"/>
    <w:rsid w:val="00CD22BB"/>
    <w:rsid w:val="00CD2AE7"/>
    <w:rsid w:val="00CF0187"/>
    <w:rsid w:val="00D012AF"/>
    <w:rsid w:val="00D040C0"/>
    <w:rsid w:val="00D15F5E"/>
    <w:rsid w:val="00D35C34"/>
    <w:rsid w:val="00D63214"/>
    <w:rsid w:val="00D64096"/>
    <w:rsid w:val="00D669BF"/>
    <w:rsid w:val="00D66F77"/>
    <w:rsid w:val="00D901E1"/>
    <w:rsid w:val="00D97D28"/>
    <w:rsid w:val="00DB0BF0"/>
    <w:rsid w:val="00DC55A9"/>
    <w:rsid w:val="00DC5EEA"/>
    <w:rsid w:val="00DD3646"/>
    <w:rsid w:val="00DF63D6"/>
    <w:rsid w:val="00E17363"/>
    <w:rsid w:val="00E1738D"/>
    <w:rsid w:val="00E30573"/>
    <w:rsid w:val="00E34B84"/>
    <w:rsid w:val="00E552AE"/>
    <w:rsid w:val="00E57189"/>
    <w:rsid w:val="00E62859"/>
    <w:rsid w:val="00E64A4E"/>
    <w:rsid w:val="00EA1127"/>
    <w:rsid w:val="00EB44C9"/>
    <w:rsid w:val="00EB4C06"/>
    <w:rsid w:val="00EB767F"/>
    <w:rsid w:val="00EC6DA1"/>
    <w:rsid w:val="00EE7C17"/>
    <w:rsid w:val="00EF204A"/>
    <w:rsid w:val="00F254D4"/>
    <w:rsid w:val="00F277F1"/>
    <w:rsid w:val="00F30A48"/>
    <w:rsid w:val="00F41807"/>
    <w:rsid w:val="00F5134F"/>
    <w:rsid w:val="00F55E2E"/>
    <w:rsid w:val="00F706EE"/>
    <w:rsid w:val="00F70BFF"/>
    <w:rsid w:val="00F804B1"/>
    <w:rsid w:val="00FA6954"/>
    <w:rsid w:val="00FA6A54"/>
    <w:rsid w:val="00FB44EF"/>
    <w:rsid w:val="00FC24BB"/>
    <w:rsid w:val="00FD0FB5"/>
    <w:rsid w:val="00FD33EE"/>
    <w:rsid w:val="00FE7E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chartTrackingRefBased/>
  <w15:docId w15:val="{4120A776-04CC-4607-A619-E847CFB03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9EF"/>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4066A"/>
    <w:pPr>
      <w:tabs>
        <w:tab w:val="center" w:pos="4320"/>
        <w:tab w:val="right" w:pos="8640"/>
      </w:tabs>
    </w:pPr>
  </w:style>
  <w:style w:type="character" w:customStyle="1" w:styleId="HeaderChar">
    <w:name w:val="Header Char"/>
    <w:basedOn w:val="DefaultParagraphFont"/>
    <w:link w:val="Header"/>
    <w:uiPriority w:val="99"/>
    <w:rsid w:val="0004066A"/>
  </w:style>
  <w:style w:type="paragraph" w:styleId="Footer">
    <w:name w:val="footer"/>
    <w:basedOn w:val="Normal"/>
    <w:link w:val="FooterChar"/>
    <w:uiPriority w:val="99"/>
    <w:unhideWhenUsed/>
    <w:rsid w:val="0004066A"/>
    <w:pPr>
      <w:tabs>
        <w:tab w:val="center" w:pos="4320"/>
        <w:tab w:val="right" w:pos="8640"/>
      </w:tabs>
    </w:pPr>
  </w:style>
  <w:style w:type="character" w:customStyle="1" w:styleId="FooterChar">
    <w:name w:val="Footer Char"/>
    <w:basedOn w:val="DefaultParagraphFont"/>
    <w:link w:val="Footer"/>
    <w:uiPriority w:val="99"/>
    <w:rsid w:val="0004066A"/>
  </w:style>
  <w:style w:type="paragraph" w:styleId="BalloonText">
    <w:name w:val="Balloon Text"/>
    <w:basedOn w:val="Normal"/>
    <w:link w:val="BalloonTextChar"/>
    <w:uiPriority w:val="99"/>
    <w:semiHidden/>
    <w:unhideWhenUsed/>
    <w:rsid w:val="0004066A"/>
    <w:rPr>
      <w:rFonts w:ascii="Lucida Grande" w:hAnsi="Lucida Grande"/>
      <w:sz w:val="18"/>
      <w:szCs w:val="18"/>
      <w:lang w:val="x-none" w:eastAsia="x-none"/>
    </w:rPr>
  </w:style>
  <w:style w:type="character" w:customStyle="1" w:styleId="BalloonTextChar">
    <w:name w:val="Balloon Text Char"/>
    <w:link w:val="BalloonText"/>
    <w:uiPriority w:val="99"/>
    <w:semiHidden/>
    <w:rsid w:val="0004066A"/>
    <w:rPr>
      <w:rFonts w:ascii="Lucida Grande" w:hAnsi="Lucida Grande" w:cs="Lucida Grande"/>
      <w:sz w:val="18"/>
      <w:szCs w:val="18"/>
    </w:rPr>
  </w:style>
  <w:style w:type="paragraph" w:customStyle="1" w:styleId="LegalInfo">
    <w:name w:val="Legal Info"/>
    <w:basedOn w:val="Normal"/>
    <w:uiPriority w:val="99"/>
    <w:rsid w:val="00E57189"/>
    <w:pPr>
      <w:widowControl w:val="0"/>
      <w:pBdr>
        <w:bottom w:val="single" w:sz="2" w:space="4" w:color="1D75A5"/>
      </w:pBdr>
      <w:autoSpaceDE w:val="0"/>
      <w:autoSpaceDN w:val="0"/>
      <w:adjustRightInd w:val="0"/>
      <w:spacing w:after="113" w:line="190" w:lineRule="atLeast"/>
      <w:textAlignment w:val="baseline"/>
    </w:pPr>
    <w:rPr>
      <w:rFonts w:ascii="DIN-Regular" w:hAnsi="DIN-Regular" w:cs="DIN-Regular"/>
      <w:color w:val="464648"/>
      <w:sz w:val="14"/>
      <w:szCs w:val="14"/>
    </w:rPr>
  </w:style>
  <w:style w:type="character" w:customStyle="1" w:styleId="BOLD">
    <w:name w:val="BOLD"/>
    <w:uiPriority w:val="99"/>
    <w:rsid w:val="00E57189"/>
    <w:rPr>
      <w:rFonts w:ascii="DIN-Medium" w:hAnsi="DIN-Medium" w:cs="DIN-Medium"/>
    </w:rPr>
  </w:style>
  <w:style w:type="paragraph" w:customStyle="1" w:styleId="AddressDetails">
    <w:name w:val="Address Details"/>
    <w:basedOn w:val="Normal"/>
    <w:uiPriority w:val="99"/>
    <w:rsid w:val="00E57189"/>
    <w:pPr>
      <w:widowControl w:val="0"/>
      <w:autoSpaceDE w:val="0"/>
      <w:autoSpaceDN w:val="0"/>
      <w:adjustRightInd w:val="0"/>
      <w:spacing w:line="190" w:lineRule="atLeast"/>
      <w:textAlignment w:val="baseline"/>
    </w:pPr>
    <w:rPr>
      <w:rFonts w:ascii="DIN-Regular" w:hAnsi="DIN-Regular" w:cs="DIN-Regular"/>
      <w:color w:val="464648"/>
      <w:sz w:val="14"/>
      <w:szCs w:val="14"/>
    </w:rPr>
  </w:style>
  <w:style w:type="character" w:customStyle="1" w:styleId="BOLD299PREFIX">
    <w:name w:val="BOLD 299 PREFIX"/>
    <w:uiPriority w:val="99"/>
    <w:rsid w:val="00E57189"/>
    <w:rPr>
      <w:rFonts w:ascii="DIN-Bold" w:hAnsi="DIN-Bold" w:cs="DIN-Bold"/>
      <w:b/>
      <w:bCs/>
      <w:color w:val="1D75A5"/>
      <w:sz w:val="14"/>
      <w:szCs w:val="14"/>
    </w:rPr>
  </w:style>
  <w:style w:type="character" w:styleId="CommentReference">
    <w:name w:val="annotation reference"/>
    <w:uiPriority w:val="99"/>
    <w:semiHidden/>
    <w:unhideWhenUsed/>
    <w:rsid w:val="00C6722F"/>
    <w:rPr>
      <w:sz w:val="16"/>
      <w:szCs w:val="16"/>
    </w:rPr>
  </w:style>
  <w:style w:type="paragraph" w:styleId="CommentText">
    <w:name w:val="annotation text"/>
    <w:basedOn w:val="Normal"/>
    <w:link w:val="CommentTextChar"/>
    <w:uiPriority w:val="99"/>
    <w:semiHidden/>
    <w:unhideWhenUsed/>
    <w:rsid w:val="00C6722F"/>
    <w:pPr>
      <w:spacing w:after="200"/>
    </w:pPr>
    <w:rPr>
      <w:rFonts w:eastAsia="Cambria"/>
      <w:sz w:val="20"/>
      <w:szCs w:val="20"/>
      <w:lang w:val="x-none" w:eastAsia="x-none"/>
    </w:rPr>
  </w:style>
  <w:style w:type="character" w:customStyle="1" w:styleId="CommentTextChar">
    <w:name w:val="Comment Text Char"/>
    <w:link w:val="CommentText"/>
    <w:uiPriority w:val="99"/>
    <w:semiHidden/>
    <w:rsid w:val="00C6722F"/>
    <w:rPr>
      <w:rFonts w:ascii="Cambria" w:eastAsia="Cambria" w:hAnsi="Cambria" w:cs="Times New Roman"/>
      <w:sz w:val="20"/>
      <w:szCs w:val="20"/>
    </w:rPr>
  </w:style>
  <w:style w:type="paragraph" w:customStyle="1" w:styleId="Default">
    <w:name w:val="Default"/>
    <w:rsid w:val="00A20AA3"/>
    <w:pPr>
      <w:widowControl w:val="0"/>
      <w:autoSpaceDE w:val="0"/>
      <w:autoSpaceDN w:val="0"/>
      <w:adjustRightInd w:val="0"/>
    </w:pPr>
    <w:rPr>
      <w:rFonts w:ascii="Arial" w:hAnsi="Arial" w:cs="Arial"/>
      <w:color w:val="000000"/>
      <w:sz w:val="24"/>
      <w:szCs w:val="24"/>
      <w:lang w:val="en-US" w:eastAsia="en-US"/>
    </w:rPr>
  </w:style>
  <w:style w:type="paragraph" w:styleId="ColorfulList-Accent1">
    <w:name w:val="Colorful List Accent 1"/>
    <w:basedOn w:val="Normal"/>
    <w:uiPriority w:val="34"/>
    <w:unhideWhenUsed/>
    <w:qFormat/>
    <w:rsid w:val="003D1619"/>
    <w:pPr>
      <w:ind w:left="720"/>
    </w:pPr>
    <w:rPr>
      <w:rFonts w:ascii="Times New Roman" w:eastAsia="Cambria" w:hAnsi="Times New Roman"/>
      <w:lang w:val="en-AU"/>
    </w:rPr>
  </w:style>
  <w:style w:type="character" w:styleId="Hyperlink">
    <w:name w:val="Hyperlink"/>
    <w:uiPriority w:val="99"/>
    <w:unhideWhenUsed/>
    <w:rsid w:val="00C92B75"/>
    <w:rPr>
      <w:color w:val="0000FF"/>
      <w:u w:val="single"/>
    </w:rPr>
  </w:style>
  <w:style w:type="table" w:styleId="TableGrid">
    <w:name w:val="Table Grid"/>
    <w:basedOn w:val="TableNormal"/>
    <w:uiPriority w:val="59"/>
    <w:rsid w:val="00C92B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31">
    <w:name w:val="Plain Table 31"/>
    <w:basedOn w:val="TableNormal"/>
    <w:uiPriority w:val="43"/>
    <w:rsid w:val="008E048B"/>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styleId="FootnoteText">
    <w:name w:val="footnote text"/>
    <w:basedOn w:val="Normal"/>
    <w:link w:val="FootnoteTextChar"/>
    <w:uiPriority w:val="99"/>
    <w:semiHidden/>
    <w:unhideWhenUsed/>
    <w:rsid w:val="00F70BFF"/>
    <w:rPr>
      <w:sz w:val="20"/>
      <w:szCs w:val="20"/>
      <w:lang w:val="x-none" w:eastAsia="x-none"/>
    </w:rPr>
  </w:style>
  <w:style w:type="character" w:customStyle="1" w:styleId="FootnoteTextChar">
    <w:name w:val="Footnote Text Char"/>
    <w:link w:val="FootnoteText"/>
    <w:uiPriority w:val="99"/>
    <w:semiHidden/>
    <w:rsid w:val="00F70BFF"/>
    <w:rPr>
      <w:sz w:val="20"/>
      <w:szCs w:val="20"/>
    </w:rPr>
  </w:style>
  <w:style w:type="character" w:styleId="FootnoteReference">
    <w:name w:val="footnote reference"/>
    <w:uiPriority w:val="99"/>
    <w:semiHidden/>
    <w:unhideWhenUsed/>
    <w:rsid w:val="00F70BFF"/>
    <w:rPr>
      <w:vertAlign w:val="superscript"/>
    </w:rPr>
  </w:style>
  <w:style w:type="paragraph" w:styleId="CommentSubject">
    <w:name w:val="annotation subject"/>
    <w:basedOn w:val="CommentText"/>
    <w:next w:val="CommentText"/>
    <w:link w:val="CommentSubjectChar"/>
    <w:uiPriority w:val="99"/>
    <w:semiHidden/>
    <w:unhideWhenUsed/>
    <w:rsid w:val="00467E91"/>
    <w:pPr>
      <w:spacing w:after="0"/>
    </w:pPr>
    <w:rPr>
      <w:b/>
      <w:bCs/>
    </w:rPr>
  </w:style>
  <w:style w:type="character" w:customStyle="1" w:styleId="CommentSubjectChar">
    <w:name w:val="Comment Subject Char"/>
    <w:link w:val="CommentSubject"/>
    <w:uiPriority w:val="99"/>
    <w:semiHidden/>
    <w:rsid w:val="00467E91"/>
    <w:rPr>
      <w:rFonts w:ascii="Cambria" w:eastAsia="Cambria" w:hAnsi="Cambria" w:cs="Times New Roman"/>
      <w:b/>
      <w:bCs/>
      <w:sz w:val="20"/>
      <w:szCs w:val="20"/>
    </w:rPr>
  </w:style>
  <w:style w:type="paragraph" w:styleId="EndnoteText">
    <w:name w:val="endnote text"/>
    <w:basedOn w:val="Normal"/>
    <w:link w:val="EndnoteTextChar"/>
    <w:uiPriority w:val="99"/>
    <w:semiHidden/>
    <w:unhideWhenUsed/>
    <w:rsid w:val="00821DAB"/>
    <w:rPr>
      <w:sz w:val="20"/>
      <w:szCs w:val="20"/>
    </w:rPr>
  </w:style>
  <w:style w:type="character" w:customStyle="1" w:styleId="EndnoteTextChar">
    <w:name w:val="Endnote Text Char"/>
    <w:link w:val="EndnoteText"/>
    <w:uiPriority w:val="99"/>
    <w:semiHidden/>
    <w:rsid w:val="00821DAB"/>
    <w:rPr>
      <w:lang w:val="en-US" w:eastAsia="en-US"/>
    </w:rPr>
  </w:style>
  <w:style w:type="character" w:styleId="EndnoteReference">
    <w:name w:val="endnote reference"/>
    <w:uiPriority w:val="99"/>
    <w:semiHidden/>
    <w:unhideWhenUsed/>
    <w:rsid w:val="00821D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45312">
      <w:bodyDiv w:val="1"/>
      <w:marLeft w:val="0"/>
      <w:marRight w:val="0"/>
      <w:marTop w:val="0"/>
      <w:marBottom w:val="0"/>
      <w:divBdr>
        <w:top w:val="none" w:sz="0" w:space="0" w:color="auto"/>
        <w:left w:val="none" w:sz="0" w:space="0" w:color="auto"/>
        <w:bottom w:val="none" w:sz="0" w:space="0" w:color="auto"/>
        <w:right w:val="none" w:sz="0" w:space="0" w:color="auto"/>
      </w:divBdr>
    </w:div>
    <w:div w:id="334460128">
      <w:bodyDiv w:val="1"/>
      <w:marLeft w:val="0"/>
      <w:marRight w:val="0"/>
      <w:marTop w:val="0"/>
      <w:marBottom w:val="0"/>
      <w:divBdr>
        <w:top w:val="none" w:sz="0" w:space="0" w:color="auto"/>
        <w:left w:val="none" w:sz="0" w:space="0" w:color="auto"/>
        <w:bottom w:val="none" w:sz="0" w:space="0" w:color="auto"/>
        <w:right w:val="none" w:sz="0" w:space="0" w:color="auto"/>
      </w:divBdr>
    </w:div>
    <w:div w:id="480318743">
      <w:bodyDiv w:val="1"/>
      <w:marLeft w:val="0"/>
      <w:marRight w:val="0"/>
      <w:marTop w:val="0"/>
      <w:marBottom w:val="0"/>
      <w:divBdr>
        <w:top w:val="none" w:sz="0" w:space="0" w:color="auto"/>
        <w:left w:val="none" w:sz="0" w:space="0" w:color="auto"/>
        <w:bottom w:val="none" w:sz="0" w:space="0" w:color="auto"/>
        <w:right w:val="none" w:sz="0" w:space="0" w:color="auto"/>
      </w:divBdr>
    </w:div>
    <w:div w:id="567692205">
      <w:bodyDiv w:val="1"/>
      <w:marLeft w:val="0"/>
      <w:marRight w:val="0"/>
      <w:marTop w:val="0"/>
      <w:marBottom w:val="0"/>
      <w:divBdr>
        <w:top w:val="none" w:sz="0" w:space="0" w:color="auto"/>
        <w:left w:val="none" w:sz="0" w:space="0" w:color="auto"/>
        <w:bottom w:val="none" w:sz="0" w:space="0" w:color="auto"/>
        <w:right w:val="none" w:sz="0" w:space="0" w:color="auto"/>
      </w:divBdr>
    </w:div>
    <w:div w:id="848758448">
      <w:bodyDiv w:val="1"/>
      <w:marLeft w:val="0"/>
      <w:marRight w:val="0"/>
      <w:marTop w:val="0"/>
      <w:marBottom w:val="0"/>
      <w:divBdr>
        <w:top w:val="none" w:sz="0" w:space="0" w:color="auto"/>
        <w:left w:val="none" w:sz="0" w:space="0" w:color="auto"/>
        <w:bottom w:val="none" w:sz="0" w:space="0" w:color="auto"/>
        <w:right w:val="none" w:sz="0" w:space="0" w:color="auto"/>
      </w:divBdr>
    </w:div>
    <w:div w:id="1011447697">
      <w:bodyDiv w:val="1"/>
      <w:marLeft w:val="0"/>
      <w:marRight w:val="0"/>
      <w:marTop w:val="0"/>
      <w:marBottom w:val="0"/>
      <w:divBdr>
        <w:top w:val="none" w:sz="0" w:space="0" w:color="auto"/>
        <w:left w:val="none" w:sz="0" w:space="0" w:color="auto"/>
        <w:bottom w:val="none" w:sz="0" w:space="0" w:color="auto"/>
        <w:right w:val="none" w:sz="0" w:space="0" w:color="auto"/>
      </w:divBdr>
    </w:div>
    <w:div w:id="1102456263">
      <w:bodyDiv w:val="1"/>
      <w:marLeft w:val="0"/>
      <w:marRight w:val="0"/>
      <w:marTop w:val="0"/>
      <w:marBottom w:val="0"/>
      <w:divBdr>
        <w:top w:val="none" w:sz="0" w:space="0" w:color="auto"/>
        <w:left w:val="none" w:sz="0" w:space="0" w:color="auto"/>
        <w:bottom w:val="none" w:sz="0" w:space="0" w:color="auto"/>
        <w:right w:val="none" w:sz="0" w:space="0" w:color="auto"/>
      </w:divBdr>
    </w:div>
    <w:div w:id="1139035558">
      <w:bodyDiv w:val="1"/>
      <w:marLeft w:val="0"/>
      <w:marRight w:val="0"/>
      <w:marTop w:val="0"/>
      <w:marBottom w:val="0"/>
      <w:divBdr>
        <w:top w:val="none" w:sz="0" w:space="0" w:color="auto"/>
        <w:left w:val="none" w:sz="0" w:space="0" w:color="auto"/>
        <w:bottom w:val="none" w:sz="0" w:space="0" w:color="auto"/>
        <w:right w:val="none" w:sz="0" w:space="0" w:color="auto"/>
      </w:divBdr>
    </w:div>
    <w:div w:id="1146051121">
      <w:bodyDiv w:val="1"/>
      <w:marLeft w:val="0"/>
      <w:marRight w:val="0"/>
      <w:marTop w:val="0"/>
      <w:marBottom w:val="0"/>
      <w:divBdr>
        <w:top w:val="none" w:sz="0" w:space="0" w:color="auto"/>
        <w:left w:val="none" w:sz="0" w:space="0" w:color="auto"/>
        <w:bottom w:val="none" w:sz="0" w:space="0" w:color="auto"/>
        <w:right w:val="none" w:sz="0" w:space="0" w:color="auto"/>
      </w:divBdr>
    </w:div>
    <w:div w:id="1320114503">
      <w:bodyDiv w:val="1"/>
      <w:marLeft w:val="0"/>
      <w:marRight w:val="0"/>
      <w:marTop w:val="0"/>
      <w:marBottom w:val="0"/>
      <w:divBdr>
        <w:top w:val="none" w:sz="0" w:space="0" w:color="auto"/>
        <w:left w:val="none" w:sz="0" w:space="0" w:color="auto"/>
        <w:bottom w:val="none" w:sz="0" w:space="0" w:color="auto"/>
        <w:right w:val="none" w:sz="0" w:space="0" w:color="auto"/>
      </w:divBdr>
    </w:div>
    <w:div w:id="1457484936">
      <w:bodyDiv w:val="1"/>
      <w:marLeft w:val="0"/>
      <w:marRight w:val="0"/>
      <w:marTop w:val="0"/>
      <w:marBottom w:val="0"/>
      <w:divBdr>
        <w:top w:val="none" w:sz="0" w:space="0" w:color="auto"/>
        <w:left w:val="none" w:sz="0" w:space="0" w:color="auto"/>
        <w:bottom w:val="none" w:sz="0" w:space="0" w:color="auto"/>
        <w:right w:val="none" w:sz="0" w:space="0" w:color="auto"/>
      </w:divBdr>
    </w:div>
    <w:div w:id="1694456309">
      <w:bodyDiv w:val="1"/>
      <w:marLeft w:val="0"/>
      <w:marRight w:val="0"/>
      <w:marTop w:val="0"/>
      <w:marBottom w:val="0"/>
      <w:divBdr>
        <w:top w:val="none" w:sz="0" w:space="0" w:color="auto"/>
        <w:left w:val="none" w:sz="0" w:space="0" w:color="auto"/>
        <w:bottom w:val="none" w:sz="0" w:space="0" w:color="auto"/>
        <w:right w:val="none" w:sz="0" w:space="0" w:color="auto"/>
      </w:divBdr>
    </w:div>
    <w:div w:id="1711881027">
      <w:bodyDiv w:val="1"/>
      <w:marLeft w:val="0"/>
      <w:marRight w:val="0"/>
      <w:marTop w:val="0"/>
      <w:marBottom w:val="0"/>
      <w:divBdr>
        <w:top w:val="none" w:sz="0" w:space="0" w:color="auto"/>
        <w:left w:val="none" w:sz="0" w:space="0" w:color="auto"/>
        <w:bottom w:val="none" w:sz="0" w:space="0" w:color="auto"/>
        <w:right w:val="none" w:sz="0" w:space="0" w:color="auto"/>
      </w:divBdr>
    </w:div>
    <w:div w:id="20340683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UB24.com.a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embeddings/oleObject2.bin"/><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642349438535722E-2"/>
          <c:y val="0.15064224990560815"/>
          <c:w val="0.85800115407820721"/>
          <c:h val="0.63248874177579983"/>
        </c:manualLayout>
      </c:layout>
      <c:lineChart>
        <c:grouping val="standard"/>
        <c:varyColors val="0"/>
        <c:ser>
          <c:idx val="4"/>
          <c:order val="0"/>
          <c:tx>
            <c:strRef>
              <c:f>'[FUA Chart_Investor Presentation FY15.xlsx]Platform FUA'!$B$107:$E$107</c:f>
              <c:strCache>
                <c:ptCount val="4"/>
                <c:pt idx="0">
                  <c:v>FUA Balance</c:v>
                </c:pt>
              </c:strCache>
            </c:strRef>
          </c:tx>
          <c:spPr>
            <a:ln w="38100">
              <a:solidFill>
                <a:srgbClr val="FF0000"/>
              </a:solidFill>
            </a:ln>
          </c:spPr>
          <c:marker>
            <c:symbol val="none"/>
          </c:marker>
          <c:cat>
            <c:strRef>
              <c:f>'[FUA Chart_Investor Presentation FY15.xlsx]Platform FUA'!$F$98:$R$98</c:f>
              <c:strCache>
                <c:ptCount val="13"/>
                <c:pt idx="0">
                  <c:v>Sept '11</c:v>
                </c:pt>
                <c:pt idx="1">
                  <c:v>Dec '11</c:v>
                </c:pt>
                <c:pt idx="2">
                  <c:v>Mar '12</c:v>
                </c:pt>
                <c:pt idx="3">
                  <c:v>June '12</c:v>
                </c:pt>
                <c:pt idx="4">
                  <c:v>Sept '12</c:v>
                </c:pt>
                <c:pt idx="5">
                  <c:v>Dec '12</c:v>
                </c:pt>
                <c:pt idx="6">
                  <c:v>Mar '13</c:v>
                </c:pt>
                <c:pt idx="7">
                  <c:v>June '13</c:v>
                </c:pt>
                <c:pt idx="8">
                  <c:v>Sept '13</c:v>
                </c:pt>
                <c:pt idx="9">
                  <c:v>Dec '13</c:v>
                </c:pt>
                <c:pt idx="10">
                  <c:v>Mar '14</c:v>
                </c:pt>
                <c:pt idx="11">
                  <c:v>Jun '14</c:v>
                </c:pt>
                <c:pt idx="12">
                  <c:v>Sept '14</c:v>
                </c:pt>
              </c:strCache>
            </c:strRef>
          </c:cat>
          <c:val>
            <c:numRef>
              <c:f>'[FUA Chart_Investor Presentation FY15.xlsx]Platform FUA'!$F$107:$R$107</c:f>
              <c:numCache>
                <c:formatCode>_(* #,##0.00_);_(* \(#,##0.00\);_(* "-"??_);_(@_)</c:formatCode>
                <c:ptCount val="13"/>
                <c:pt idx="0">
                  <c:v>69.397870049999995</c:v>
                </c:pt>
                <c:pt idx="1">
                  <c:v>81.35892315000001</c:v>
                </c:pt>
                <c:pt idx="2">
                  <c:v>112.71670529000001</c:v>
                </c:pt>
                <c:pt idx="3">
                  <c:v>121.69418492</c:v>
                </c:pt>
                <c:pt idx="4">
                  <c:v>189.89770899999999</c:v>
                </c:pt>
                <c:pt idx="5">
                  <c:v>252.741804</c:v>
                </c:pt>
                <c:pt idx="6">
                  <c:v>332.197045</c:v>
                </c:pt>
                <c:pt idx="7">
                  <c:v>384.56825700000002</c:v>
                </c:pt>
                <c:pt idx="8">
                  <c:v>527.55210242999999</c:v>
                </c:pt>
                <c:pt idx="9">
                  <c:v>618.87295400000005</c:v>
                </c:pt>
                <c:pt idx="10">
                  <c:v>730.20412710000005</c:v>
                </c:pt>
                <c:pt idx="11">
                  <c:v>853.83766252999999</c:v>
                </c:pt>
                <c:pt idx="12">
                  <c:v>1030.8438631000001</c:v>
                </c:pt>
              </c:numCache>
            </c:numRef>
          </c:val>
          <c:smooth val="0"/>
        </c:ser>
        <c:dLbls>
          <c:showLegendKey val="0"/>
          <c:showVal val="0"/>
          <c:showCatName val="0"/>
          <c:showSerName val="0"/>
          <c:showPercent val="0"/>
          <c:showBubbleSize val="0"/>
        </c:dLbls>
        <c:smooth val="0"/>
        <c:axId val="376241616"/>
        <c:axId val="376241224"/>
      </c:lineChart>
      <c:catAx>
        <c:axId val="376241616"/>
        <c:scaling>
          <c:orientation val="minMax"/>
        </c:scaling>
        <c:delete val="0"/>
        <c:axPos val="b"/>
        <c:numFmt formatCode="General" sourceLinked="0"/>
        <c:majorTickMark val="out"/>
        <c:minorTickMark val="none"/>
        <c:tickLblPos val="nextTo"/>
        <c:txPr>
          <a:bodyPr rot="-5400000" vert="horz"/>
          <a:lstStyle/>
          <a:p>
            <a:pPr>
              <a:defRPr sz="800"/>
            </a:pPr>
            <a:endParaRPr lang="en-US"/>
          </a:p>
        </c:txPr>
        <c:crossAx val="376241224"/>
        <c:crosses val="autoZero"/>
        <c:auto val="1"/>
        <c:lblAlgn val="ctr"/>
        <c:lblOffset val="100"/>
        <c:noMultiLvlLbl val="0"/>
      </c:catAx>
      <c:valAx>
        <c:axId val="376241224"/>
        <c:scaling>
          <c:orientation val="minMax"/>
          <c:min val="0"/>
        </c:scaling>
        <c:delete val="0"/>
        <c:axPos val="l"/>
        <c:majorGridlines>
          <c:spPr>
            <a:ln>
              <a:noFill/>
            </a:ln>
          </c:spPr>
        </c:majorGridlines>
        <c:numFmt formatCode="_(* #,##0_);_(* \(#,##0\);_(* &quot;-&quot;_);_(@_)" sourceLinked="0"/>
        <c:majorTickMark val="out"/>
        <c:minorTickMark val="none"/>
        <c:tickLblPos val="nextTo"/>
        <c:txPr>
          <a:bodyPr/>
          <a:lstStyle/>
          <a:p>
            <a:pPr>
              <a:defRPr sz="800"/>
            </a:pPr>
            <a:endParaRPr lang="en-US"/>
          </a:p>
        </c:txPr>
        <c:crossAx val="376241616"/>
        <c:crosses val="autoZero"/>
        <c:crossBetween val="between"/>
        <c:majorUnit val="100"/>
        <c:minorUnit val="20"/>
      </c:valAx>
    </c:plotArea>
    <c:plotVisOnly val="1"/>
    <c:dispBlanksAs val="gap"/>
    <c:showDLblsOverMax val="0"/>
  </c:chart>
  <c:spPr>
    <a:ln>
      <a:no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5642349438535722E-2"/>
          <c:y val="0.12025288740882292"/>
          <c:w val="0.85800115407820721"/>
          <c:h val="0.71236465645409619"/>
        </c:manualLayout>
      </c:layout>
      <c:barChart>
        <c:barDir val="col"/>
        <c:grouping val="clustered"/>
        <c:varyColors val="0"/>
        <c:ser>
          <c:idx val="1"/>
          <c:order val="0"/>
          <c:tx>
            <c:strRef>
              <c:f>'[FUA Chart_Investor Presentation FY15.xlsx]Platform FUA'!$B$104:$E$104</c:f>
              <c:strCache>
                <c:ptCount val="4"/>
                <c:pt idx="0">
                  <c:v>Net Inflows (LHS)</c:v>
                </c:pt>
              </c:strCache>
            </c:strRef>
          </c:tx>
          <c:spPr>
            <a:solidFill>
              <a:schemeClr val="accent6"/>
            </a:solidFill>
          </c:spPr>
          <c:invertIfNegative val="0"/>
          <c:cat>
            <c:strRef>
              <c:f>'[FUA Chart_Investor Presentation FY15.xlsx]Platform FUA'!$F$98:$R$98</c:f>
              <c:strCache>
                <c:ptCount val="13"/>
                <c:pt idx="0">
                  <c:v>Sept '11</c:v>
                </c:pt>
                <c:pt idx="1">
                  <c:v>Dec '11</c:v>
                </c:pt>
                <c:pt idx="2">
                  <c:v>Mar '12</c:v>
                </c:pt>
                <c:pt idx="3">
                  <c:v>June '12</c:v>
                </c:pt>
                <c:pt idx="4">
                  <c:v>Sept '12</c:v>
                </c:pt>
                <c:pt idx="5">
                  <c:v>Dec '12</c:v>
                </c:pt>
                <c:pt idx="6">
                  <c:v>Mar '13</c:v>
                </c:pt>
                <c:pt idx="7">
                  <c:v>June '13</c:v>
                </c:pt>
                <c:pt idx="8">
                  <c:v>Sept '13</c:v>
                </c:pt>
                <c:pt idx="9">
                  <c:v>Dec '13</c:v>
                </c:pt>
                <c:pt idx="10">
                  <c:v>Mar '14</c:v>
                </c:pt>
                <c:pt idx="11">
                  <c:v>Jun '14</c:v>
                </c:pt>
                <c:pt idx="12">
                  <c:v>Sept '14</c:v>
                </c:pt>
              </c:strCache>
            </c:strRef>
          </c:cat>
          <c:val>
            <c:numRef>
              <c:f>'[FUA Chart_Investor Presentation FY15.xlsx]Platform FUA'!$F$104:$R$104</c:f>
              <c:numCache>
                <c:formatCode>#,##0;[Red]\(#,##0\)</c:formatCode>
                <c:ptCount val="13"/>
                <c:pt idx="0">
                  <c:v>7.6713149899999999</c:v>
                </c:pt>
                <c:pt idx="1">
                  <c:v>9.1701478400000003</c:v>
                </c:pt>
                <c:pt idx="2">
                  <c:v>26.856475869999997</c:v>
                </c:pt>
                <c:pt idx="3">
                  <c:v>21.325181330000003</c:v>
                </c:pt>
                <c:pt idx="4">
                  <c:v>58.214581000000003</c:v>
                </c:pt>
                <c:pt idx="5">
                  <c:v>51.012090999999998</c:v>
                </c:pt>
                <c:pt idx="6">
                  <c:v>63.269439420000005</c:v>
                </c:pt>
                <c:pt idx="7">
                  <c:v>56.659786029999999</c:v>
                </c:pt>
                <c:pt idx="8">
                  <c:v>106.50518704</c:v>
                </c:pt>
                <c:pt idx="9">
                  <c:v>60.795176529999999</c:v>
                </c:pt>
                <c:pt idx="10">
                  <c:v>108.70884486</c:v>
                </c:pt>
                <c:pt idx="11">
                  <c:v>117.71251724000001</c:v>
                </c:pt>
                <c:pt idx="12">
                  <c:v>170.60773773000003</c:v>
                </c:pt>
              </c:numCache>
            </c:numRef>
          </c:val>
        </c:ser>
        <c:dLbls>
          <c:showLegendKey val="0"/>
          <c:showVal val="0"/>
          <c:showCatName val="0"/>
          <c:showSerName val="0"/>
          <c:showPercent val="0"/>
          <c:showBubbleSize val="0"/>
        </c:dLbls>
        <c:gapWidth val="150"/>
        <c:axId val="297372984"/>
        <c:axId val="297371416"/>
      </c:barChart>
      <c:catAx>
        <c:axId val="297372984"/>
        <c:scaling>
          <c:orientation val="minMax"/>
        </c:scaling>
        <c:delete val="0"/>
        <c:axPos val="b"/>
        <c:numFmt formatCode="General" sourceLinked="0"/>
        <c:majorTickMark val="out"/>
        <c:minorTickMark val="none"/>
        <c:tickLblPos val="nextTo"/>
        <c:txPr>
          <a:bodyPr rot="-5400000" vert="horz"/>
          <a:lstStyle/>
          <a:p>
            <a:pPr>
              <a:defRPr sz="800"/>
            </a:pPr>
            <a:endParaRPr lang="en-US"/>
          </a:p>
        </c:txPr>
        <c:crossAx val="297371416"/>
        <c:crosses val="autoZero"/>
        <c:auto val="1"/>
        <c:lblAlgn val="ctr"/>
        <c:lblOffset val="100"/>
        <c:noMultiLvlLbl val="0"/>
      </c:catAx>
      <c:valAx>
        <c:axId val="297371416"/>
        <c:scaling>
          <c:orientation val="minMax"/>
        </c:scaling>
        <c:delete val="0"/>
        <c:axPos val="l"/>
        <c:majorGridlines>
          <c:spPr>
            <a:ln>
              <a:noFill/>
            </a:ln>
          </c:spPr>
        </c:majorGridlines>
        <c:numFmt formatCode="#,##0;[Red]\(#,##0\)" sourceLinked="1"/>
        <c:majorTickMark val="out"/>
        <c:minorTickMark val="none"/>
        <c:tickLblPos val="nextTo"/>
        <c:txPr>
          <a:bodyPr/>
          <a:lstStyle/>
          <a:p>
            <a:pPr>
              <a:defRPr sz="800"/>
            </a:pPr>
            <a:endParaRPr lang="en-US"/>
          </a:p>
        </c:txPr>
        <c:crossAx val="297372984"/>
        <c:crosses val="autoZero"/>
        <c:crossBetween val="between"/>
      </c:valAx>
    </c:plotArea>
    <c:plotVisOnly val="1"/>
    <c:dispBlanksAs val="gap"/>
    <c:showDLblsOverMax val="0"/>
  </c:chart>
  <c:spPr>
    <a:ln>
      <a:noFill/>
    </a:ln>
  </c:spPr>
  <c:externalData r:id="rId2">
    <c:autoUpdate val="0"/>
  </c:externalData>
  <c:userShapes r:id="rId3"/>
</c:chartSpace>
</file>

<file path=word/drawings/drawing1.xml><?xml version="1.0" encoding="utf-8"?>
<c:userShapes xmlns:c="http://schemas.openxmlformats.org/drawingml/2006/chart">
  <cdr:relSizeAnchor xmlns:cdr="http://schemas.openxmlformats.org/drawingml/2006/chartDrawing">
    <cdr:from>
      <cdr:x>0.39892</cdr:x>
      <cdr:y>0.03092</cdr:y>
    </cdr:from>
    <cdr:to>
      <cdr:x>0.71788</cdr:x>
      <cdr:y>0.11045</cdr:y>
    </cdr:to>
    <cdr:sp macro="" textlink="">
      <cdr:nvSpPr>
        <cdr:cNvPr id="5" name="TextBox 1"/>
        <cdr:cNvSpPr txBox="1"/>
      </cdr:nvSpPr>
      <cdr:spPr>
        <a:xfrm xmlns:a="http://schemas.openxmlformats.org/drawingml/2006/main">
          <a:off x="1700379" y="123329"/>
          <a:ext cx="1359527" cy="31720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b="1" baseline="0"/>
            <a:t>FUA BALANCE   </a:t>
          </a:r>
          <a:endParaRPr lang="en-AU" sz="900" b="1"/>
        </a:p>
      </cdr:txBody>
    </cdr:sp>
  </cdr:relSizeAnchor>
  <cdr:relSizeAnchor xmlns:cdr="http://schemas.openxmlformats.org/drawingml/2006/chartDrawing">
    <cdr:from>
      <cdr:x>0.01192</cdr:x>
      <cdr:y>0.03363</cdr:y>
    </cdr:from>
    <cdr:to>
      <cdr:x>0.17318</cdr:x>
      <cdr:y>0.11316</cdr:y>
    </cdr:to>
    <cdr:sp macro="" textlink="">
      <cdr:nvSpPr>
        <cdr:cNvPr id="3" name="TextBox 1"/>
        <cdr:cNvSpPr txBox="1"/>
      </cdr:nvSpPr>
      <cdr:spPr>
        <a:xfrm xmlns:a="http://schemas.openxmlformats.org/drawingml/2006/main">
          <a:off x="50800" y="134144"/>
          <a:ext cx="687386" cy="31720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n-AU" sz="900" b="1"/>
            <a:t>$</a:t>
          </a:r>
          <a:r>
            <a:rPr lang="en-AU" sz="900" b="1" baseline="0"/>
            <a:t> 'M</a:t>
          </a:r>
          <a:endParaRPr lang="en-AU" sz="900" b="1"/>
        </a:p>
      </cdr:txBody>
    </cdr:sp>
  </cdr:relSizeAnchor>
</c:userShapes>
</file>

<file path=word/drawings/drawing2.xml><?xml version="1.0" encoding="utf-8"?>
<c:userShapes xmlns:c="http://schemas.openxmlformats.org/drawingml/2006/chart">
  <cdr:relSizeAnchor xmlns:cdr="http://schemas.openxmlformats.org/drawingml/2006/chartDrawing">
    <cdr:from>
      <cdr:x>0.29293</cdr:x>
      <cdr:y>0.02931</cdr:y>
    </cdr:from>
    <cdr:to>
      <cdr:x>0.92713</cdr:x>
      <cdr:y>0.13882</cdr:y>
    </cdr:to>
    <cdr:sp macro="" textlink="">
      <cdr:nvSpPr>
        <cdr:cNvPr id="2" name="TextBox 1"/>
        <cdr:cNvSpPr txBox="1"/>
      </cdr:nvSpPr>
      <cdr:spPr>
        <a:xfrm xmlns:a="http://schemas.openxmlformats.org/drawingml/2006/main">
          <a:off x="1722922" y="122489"/>
          <a:ext cx="3730140" cy="4576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900" b="1" baseline="0"/>
            <a:t>NET FLOWS - QUARTERLY</a:t>
          </a:r>
          <a:endParaRPr lang="en-AU" sz="900" b="1"/>
        </a:p>
      </cdr:txBody>
    </cdr:sp>
  </cdr:relSizeAnchor>
  <cdr:relSizeAnchor xmlns:cdr="http://schemas.openxmlformats.org/drawingml/2006/chartDrawing">
    <cdr:from>
      <cdr:x>0.0101</cdr:x>
      <cdr:y>0.02439</cdr:y>
    </cdr:from>
    <cdr:to>
      <cdr:x>0.23901</cdr:x>
      <cdr:y>0.1372</cdr:y>
    </cdr:to>
    <cdr:sp macro="" textlink="">
      <cdr:nvSpPr>
        <cdr:cNvPr id="3" name="TextBox 2"/>
        <cdr:cNvSpPr txBox="1"/>
      </cdr:nvSpPr>
      <cdr:spPr>
        <a:xfrm xmlns:a="http://schemas.openxmlformats.org/drawingml/2006/main">
          <a:off x="62892" y="95249"/>
          <a:ext cx="1425389" cy="44055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AU" sz="900" b="1"/>
            <a:t>$</a:t>
          </a:r>
          <a:r>
            <a:rPr lang="en-AU" sz="900" b="1" baseline="0"/>
            <a:t> 'M</a:t>
          </a:r>
          <a:endParaRPr lang="en-AU" sz="900" b="1"/>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D34B05-067F-4CB3-8240-9A34371E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875</Words>
  <Characters>4994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Reveal Creative</Company>
  <LinksUpToDate>false</LinksUpToDate>
  <CharactersWithSpaces>5858</CharactersWithSpaces>
  <SharedDoc>false</SharedDoc>
  <HLinks>
    <vt:vector size="6" baseType="variant">
      <vt:variant>
        <vt:i4>5570573</vt:i4>
      </vt:variant>
      <vt:variant>
        <vt:i4>0</vt:i4>
      </vt:variant>
      <vt:variant>
        <vt:i4>0</vt:i4>
      </vt:variant>
      <vt:variant>
        <vt:i4>5</vt:i4>
      </vt:variant>
      <vt:variant>
        <vt:lpwstr>http://www.hub24.com.au/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Simpson</dc:creator>
  <cp:keywords/>
  <cp:lastModifiedBy>Chris Hocking</cp:lastModifiedBy>
  <cp:revision>3</cp:revision>
  <cp:lastPrinted>2014-10-15T03:14:00Z</cp:lastPrinted>
  <dcterms:created xsi:type="dcterms:W3CDTF">2014-10-15T04:49:00Z</dcterms:created>
  <dcterms:modified xsi:type="dcterms:W3CDTF">2014-10-15T04:52:00Z</dcterms:modified>
</cp:coreProperties>
</file>