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525" w:rsidRDefault="002B2057" w:rsidP="002B2057">
      <w:pPr>
        <w:jc w:val="right"/>
      </w:pPr>
      <w:r>
        <w:rPr>
          <w:noProof/>
          <w:lang w:val="en-US"/>
        </w:rPr>
        <w:drawing>
          <wp:inline distT="0" distB="0" distL="0" distR="0" wp14:anchorId="4106B2F3" wp14:editId="390BE427">
            <wp:extent cx="1600200" cy="8001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601487" cy="800743"/>
                    </a:xfrm>
                    <a:prstGeom prst="rect">
                      <a:avLst/>
                    </a:prstGeom>
                    <a:noFill/>
                    <a:ln w="9525">
                      <a:noFill/>
                      <a:miter lim="800000"/>
                      <a:headEnd/>
                      <a:tailEnd/>
                    </a:ln>
                  </pic:spPr>
                </pic:pic>
              </a:graphicData>
            </a:graphic>
          </wp:inline>
        </w:drawing>
      </w:r>
    </w:p>
    <w:p w:rsidR="00C92525" w:rsidRDefault="00C92525"/>
    <w:p w:rsidR="00C92525" w:rsidRPr="00C92525" w:rsidRDefault="00C92525" w:rsidP="00C92525">
      <w:pPr>
        <w:autoSpaceDE w:val="0"/>
        <w:autoSpaceDN w:val="0"/>
        <w:adjustRightInd w:val="0"/>
        <w:rPr>
          <w:rFonts w:ascii="Georgia" w:eastAsia="Calibri" w:hAnsi="Georgia"/>
          <w:b/>
          <w:bCs/>
          <w:sz w:val="22"/>
          <w:szCs w:val="24"/>
          <w:lang w:val="en-US"/>
        </w:rPr>
      </w:pPr>
      <w:r w:rsidRPr="00C92525">
        <w:rPr>
          <w:rFonts w:ascii="Georgia" w:eastAsia="Calibri" w:hAnsi="Georgia"/>
          <w:b/>
          <w:bCs/>
          <w:sz w:val="22"/>
          <w:szCs w:val="24"/>
          <w:lang w:val="en-US"/>
        </w:rPr>
        <w:t>MEDIA RELEASE</w:t>
      </w:r>
    </w:p>
    <w:p w:rsidR="00C92525" w:rsidRPr="00C92525" w:rsidRDefault="00C92525" w:rsidP="00C92525">
      <w:pPr>
        <w:autoSpaceDE w:val="0"/>
        <w:autoSpaceDN w:val="0"/>
        <w:adjustRightInd w:val="0"/>
        <w:rPr>
          <w:rFonts w:ascii="Georgia" w:eastAsia="Calibri" w:hAnsi="Georgia"/>
          <w:b/>
          <w:bCs/>
          <w:sz w:val="22"/>
          <w:szCs w:val="24"/>
          <w:lang w:val="en-US"/>
        </w:rPr>
      </w:pPr>
    </w:p>
    <w:p w:rsidR="00C92525" w:rsidRPr="00C92525" w:rsidRDefault="00C92525" w:rsidP="00C92525">
      <w:pPr>
        <w:autoSpaceDE w:val="0"/>
        <w:autoSpaceDN w:val="0"/>
        <w:adjustRightInd w:val="0"/>
        <w:rPr>
          <w:rFonts w:ascii="Georgia" w:eastAsia="Calibri" w:hAnsi="Georgia"/>
          <w:b/>
          <w:bCs/>
          <w:sz w:val="24"/>
          <w:szCs w:val="36"/>
          <w:lang w:val="en-US"/>
        </w:rPr>
      </w:pPr>
      <w:r w:rsidRPr="00C92525">
        <w:rPr>
          <w:rFonts w:ascii="Georgia" w:eastAsia="Calibri" w:hAnsi="Georgia"/>
          <w:b/>
          <w:bCs/>
          <w:sz w:val="24"/>
          <w:szCs w:val="36"/>
          <w:lang w:val="en-US"/>
        </w:rPr>
        <w:t xml:space="preserve">Heffron </w:t>
      </w:r>
      <w:r w:rsidR="006E32D9">
        <w:rPr>
          <w:rFonts w:ascii="Georgia" w:eastAsia="Calibri" w:hAnsi="Georgia"/>
          <w:b/>
          <w:bCs/>
          <w:sz w:val="24"/>
          <w:szCs w:val="36"/>
          <w:lang w:val="en-US"/>
        </w:rPr>
        <w:t xml:space="preserve">releases </w:t>
      </w:r>
      <w:r w:rsidR="005D23E8">
        <w:rPr>
          <w:rFonts w:ascii="Georgia" w:eastAsia="Calibri" w:hAnsi="Georgia"/>
          <w:b/>
          <w:bCs/>
          <w:sz w:val="24"/>
          <w:szCs w:val="36"/>
          <w:lang w:val="en-US"/>
        </w:rPr>
        <w:t xml:space="preserve">Latest ¼ </w:t>
      </w:r>
      <w:r w:rsidR="006E32D9">
        <w:rPr>
          <w:rFonts w:ascii="Georgia" w:eastAsia="Calibri" w:hAnsi="Georgia"/>
          <w:b/>
          <w:bCs/>
          <w:sz w:val="24"/>
          <w:szCs w:val="36"/>
          <w:lang w:val="en-US"/>
        </w:rPr>
        <w:t>SMSF Borrowing Data Report</w:t>
      </w:r>
    </w:p>
    <w:p w:rsidR="00C92525" w:rsidRPr="00C92525" w:rsidRDefault="00C92525" w:rsidP="00C92525">
      <w:pPr>
        <w:autoSpaceDE w:val="0"/>
        <w:autoSpaceDN w:val="0"/>
        <w:adjustRightInd w:val="0"/>
        <w:rPr>
          <w:rFonts w:ascii="Georgia" w:eastAsia="Calibri" w:hAnsi="Georgia"/>
          <w:b/>
          <w:bCs/>
          <w:sz w:val="22"/>
          <w:szCs w:val="24"/>
          <w:lang w:val="en-US"/>
        </w:rPr>
      </w:pPr>
    </w:p>
    <w:p w:rsidR="00AD7C98" w:rsidRDefault="00746779" w:rsidP="00C92525">
      <w:pPr>
        <w:autoSpaceDE w:val="0"/>
        <w:autoSpaceDN w:val="0"/>
        <w:adjustRightInd w:val="0"/>
        <w:rPr>
          <w:rFonts w:ascii="Georgia" w:eastAsia="Calibri" w:hAnsi="Georgia"/>
          <w:bCs/>
          <w:sz w:val="24"/>
          <w:szCs w:val="24"/>
          <w:lang w:val="en-US"/>
        </w:rPr>
      </w:pPr>
      <w:r>
        <w:rPr>
          <w:rFonts w:ascii="Georgia" w:eastAsia="Calibri" w:hAnsi="Georgia"/>
          <w:b/>
          <w:bCs/>
          <w:sz w:val="24"/>
          <w:szCs w:val="24"/>
          <w:lang w:val="en-US"/>
        </w:rPr>
        <w:t>Tuesday</w:t>
      </w:r>
      <w:r w:rsidR="00C92525" w:rsidRPr="00C92525">
        <w:rPr>
          <w:rFonts w:ascii="Georgia" w:eastAsia="Calibri" w:hAnsi="Georgia"/>
          <w:b/>
          <w:bCs/>
          <w:sz w:val="24"/>
          <w:szCs w:val="24"/>
          <w:lang w:val="en-US"/>
        </w:rPr>
        <w:t xml:space="preserve"> </w:t>
      </w:r>
      <w:r>
        <w:rPr>
          <w:rFonts w:ascii="Georgia" w:eastAsia="Calibri" w:hAnsi="Georgia"/>
          <w:b/>
          <w:bCs/>
          <w:sz w:val="24"/>
          <w:szCs w:val="24"/>
          <w:lang w:val="en-US"/>
        </w:rPr>
        <w:t>May 6</w:t>
      </w:r>
      <w:r w:rsidR="00F65773">
        <w:rPr>
          <w:rFonts w:ascii="Georgia" w:eastAsia="Calibri" w:hAnsi="Georgia"/>
          <w:b/>
          <w:bCs/>
          <w:sz w:val="24"/>
          <w:szCs w:val="24"/>
          <w:lang w:val="en-US"/>
        </w:rPr>
        <w:t>th, 2014</w:t>
      </w:r>
      <w:r w:rsidR="00C92525" w:rsidRPr="00C92525">
        <w:rPr>
          <w:rFonts w:ascii="Georgia" w:eastAsia="Calibri" w:hAnsi="Georgia"/>
          <w:b/>
          <w:bCs/>
          <w:sz w:val="24"/>
          <w:szCs w:val="24"/>
          <w:lang w:val="en-US"/>
        </w:rPr>
        <w:t xml:space="preserve">: </w:t>
      </w:r>
      <w:r w:rsidR="00C92525" w:rsidRPr="00C92525">
        <w:rPr>
          <w:rFonts w:ascii="Georgia" w:eastAsia="Calibri" w:hAnsi="Georgia"/>
          <w:bCs/>
          <w:sz w:val="24"/>
          <w:szCs w:val="24"/>
          <w:lang w:val="en-US"/>
        </w:rPr>
        <w:t>Independent SMSF service provider Heffron</w:t>
      </w:r>
      <w:r w:rsidR="00AD7C98">
        <w:rPr>
          <w:rFonts w:ascii="Georgia" w:eastAsia="Calibri" w:hAnsi="Georgia"/>
          <w:bCs/>
          <w:sz w:val="24"/>
          <w:szCs w:val="24"/>
          <w:lang w:val="en-US"/>
        </w:rPr>
        <w:t xml:space="preserve"> SMSF Solutions</w:t>
      </w:r>
      <w:r w:rsidR="00C92525" w:rsidRPr="00C92525">
        <w:rPr>
          <w:rFonts w:ascii="Georgia" w:eastAsia="Calibri" w:hAnsi="Georgia"/>
          <w:bCs/>
          <w:sz w:val="24"/>
          <w:szCs w:val="24"/>
          <w:lang w:val="en-US"/>
        </w:rPr>
        <w:t xml:space="preserve"> has today </w:t>
      </w:r>
      <w:r w:rsidR="003B3AD2">
        <w:rPr>
          <w:rFonts w:ascii="Georgia" w:eastAsia="Calibri" w:hAnsi="Georgia"/>
          <w:bCs/>
          <w:sz w:val="24"/>
          <w:szCs w:val="24"/>
          <w:lang w:val="en-US"/>
        </w:rPr>
        <w:t xml:space="preserve">released its latest </w:t>
      </w:r>
      <w:r w:rsidR="005D23E8">
        <w:rPr>
          <w:rFonts w:ascii="Georgia" w:eastAsia="Calibri" w:hAnsi="Georgia"/>
          <w:bCs/>
          <w:sz w:val="24"/>
          <w:szCs w:val="24"/>
          <w:lang w:val="en-US"/>
        </w:rPr>
        <w:t xml:space="preserve">¼ </w:t>
      </w:r>
      <w:r w:rsidR="003B3AD2">
        <w:rPr>
          <w:rFonts w:ascii="Georgia" w:eastAsia="Calibri" w:hAnsi="Georgia"/>
          <w:bCs/>
          <w:sz w:val="24"/>
          <w:szCs w:val="24"/>
          <w:lang w:val="en-US"/>
        </w:rPr>
        <w:t>SMSF B</w:t>
      </w:r>
      <w:r w:rsidR="006E32D9">
        <w:rPr>
          <w:rFonts w:ascii="Georgia" w:eastAsia="Calibri" w:hAnsi="Georgia"/>
          <w:bCs/>
          <w:sz w:val="24"/>
          <w:szCs w:val="24"/>
          <w:lang w:val="en-US"/>
        </w:rPr>
        <w:t>orrowing</w:t>
      </w:r>
      <w:r w:rsidR="003B3AD2">
        <w:rPr>
          <w:rFonts w:ascii="Georgia" w:eastAsia="Calibri" w:hAnsi="Georgia"/>
          <w:bCs/>
          <w:sz w:val="24"/>
          <w:szCs w:val="24"/>
          <w:lang w:val="en-US"/>
        </w:rPr>
        <w:t xml:space="preserve"> Data Report.</w:t>
      </w:r>
    </w:p>
    <w:p w:rsidR="00011096" w:rsidRDefault="00011096" w:rsidP="00C92525">
      <w:pPr>
        <w:autoSpaceDE w:val="0"/>
        <w:autoSpaceDN w:val="0"/>
        <w:adjustRightInd w:val="0"/>
        <w:rPr>
          <w:rFonts w:ascii="Georgia" w:eastAsia="Calibri" w:hAnsi="Georgia"/>
          <w:bCs/>
          <w:sz w:val="24"/>
          <w:szCs w:val="24"/>
          <w:lang w:val="en-US"/>
        </w:rPr>
      </w:pPr>
    </w:p>
    <w:p w:rsidR="006E32D9" w:rsidRDefault="00EC63F8" w:rsidP="00C92525">
      <w:pPr>
        <w:autoSpaceDE w:val="0"/>
        <w:autoSpaceDN w:val="0"/>
        <w:adjustRightInd w:val="0"/>
        <w:rPr>
          <w:rFonts w:ascii="Georgia" w:eastAsia="Calibri" w:hAnsi="Georgia"/>
          <w:bCs/>
          <w:sz w:val="24"/>
          <w:szCs w:val="24"/>
          <w:lang w:val="en-US"/>
        </w:rPr>
      </w:pPr>
      <w:r>
        <w:rPr>
          <w:rFonts w:ascii="Georgia" w:eastAsia="Calibri" w:hAnsi="Georgia"/>
          <w:bCs/>
          <w:sz w:val="24"/>
          <w:szCs w:val="24"/>
          <w:lang w:val="en-US"/>
        </w:rPr>
        <w:t>“SMSF borrowing continues to be a “hot” issue</w:t>
      </w:r>
      <w:r w:rsidR="006E32D9">
        <w:rPr>
          <w:rFonts w:ascii="Georgia" w:eastAsia="Calibri" w:hAnsi="Georgia"/>
          <w:bCs/>
          <w:sz w:val="24"/>
          <w:szCs w:val="24"/>
          <w:lang w:val="en-US"/>
        </w:rPr>
        <w:t>”</w:t>
      </w:r>
      <w:r w:rsidR="003B3AD2">
        <w:rPr>
          <w:rFonts w:ascii="Georgia" w:eastAsia="Calibri" w:hAnsi="Georgia"/>
          <w:bCs/>
          <w:sz w:val="24"/>
          <w:szCs w:val="24"/>
          <w:lang w:val="en-US"/>
        </w:rPr>
        <w:t xml:space="preserve"> s</w:t>
      </w:r>
      <w:r w:rsidR="006E32D9">
        <w:rPr>
          <w:rFonts w:ascii="Georgia" w:eastAsia="Calibri" w:hAnsi="Georgia"/>
          <w:bCs/>
          <w:sz w:val="24"/>
          <w:szCs w:val="24"/>
          <w:lang w:val="en-US"/>
        </w:rPr>
        <w:t xml:space="preserve">ays Duane Pinches, Head of Document Services.  </w:t>
      </w:r>
      <w:r w:rsidR="003B3AD2">
        <w:rPr>
          <w:rFonts w:ascii="Georgia" w:eastAsia="Calibri" w:hAnsi="Georgia"/>
          <w:bCs/>
          <w:sz w:val="24"/>
          <w:szCs w:val="24"/>
          <w:lang w:val="en-US"/>
        </w:rPr>
        <w:t>“</w:t>
      </w:r>
      <w:r>
        <w:rPr>
          <w:rFonts w:ascii="Georgia" w:eastAsia="Calibri" w:hAnsi="Georgia"/>
          <w:bCs/>
          <w:sz w:val="24"/>
          <w:szCs w:val="24"/>
          <w:lang w:val="en-US"/>
        </w:rPr>
        <w:t>As one of the largest independent SMSF administration firms, o</w:t>
      </w:r>
      <w:r w:rsidR="006E32D9">
        <w:rPr>
          <w:rFonts w:ascii="Georgia" w:eastAsia="Calibri" w:hAnsi="Georgia"/>
          <w:bCs/>
          <w:sz w:val="24"/>
          <w:szCs w:val="24"/>
          <w:lang w:val="en-US"/>
        </w:rPr>
        <w:t xml:space="preserve">ur SMSF Borrowing Data Report is designed to </w:t>
      </w:r>
      <w:r>
        <w:rPr>
          <w:rFonts w:ascii="Georgia" w:eastAsia="Calibri" w:hAnsi="Georgia"/>
          <w:bCs/>
          <w:sz w:val="24"/>
          <w:szCs w:val="24"/>
          <w:lang w:val="en-US"/>
        </w:rPr>
        <w:t>provide some real data concerning</w:t>
      </w:r>
      <w:r w:rsidR="006E32D9">
        <w:rPr>
          <w:rFonts w:ascii="Georgia" w:eastAsia="Calibri" w:hAnsi="Georgia"/>
          <w:bCs/>
          <w:sz w:val="24"/>
          <w:szCs w:val="24"/>
          <w:lang w:val="en-US"/>
        </w:rPr>
        <w:t xml:space="preserve"> the number of SMSFs who have Limited Recourse Borrowing Arrangements (“LRBA”) in place</w:t>
      </w:r>
      <w:r w:rsidR="003B3AD2">
        <w:rPr>
          <w:rFonts w:ascii="Georgia" w:eastAsia="Calibri" w:hAnsi="Georgia"/>
          <w:bCs/>
          <w:sz w:val="24"/>
          <w:szCs w:val="24"/>
          <w:lang w:val="en-US"/>
        </w:rPr>
        <w:t>”</w:t>
      </w:r>
      <w:r w:rsidR="000A6DF1">
        <w:rPr>
          <w:rFonts w:ascii="Georgia" w:eastAsia="Calibri" w:hAnsi="Georgia"/>
          <w:bCs/>
          <w:sz w:val="24"/>
          <w:szCs w:val="24"/>
          <w:lang w:val="en-US"/>
        </w:rPr>
        <w:t xml:space="preserve">  </w:t>
      </w:r>
    </w:p>
    <w:p w:rsidR="00011096" w:rsidRDefault="00011096" w:rsidP="00C92525">
      <w:pPr>
        <w:autoSpaceDE w:val="0"/>
        <w:autoSpaceDN w:val="0"/>
        <w:adjustRightInd w:val="0"/>
        <w:rPr>
          <w:rFonts w:ascii="Georgia" w:eastAsia="Calibri" w:hAnsi="Georgia"/>
          <w:bCs/>
          <w:sz w:val="24"/>
          <w:szCs w:val="24"/>
          <w:lang w:val="en-US"/>
        </w:rPr>
      </w:pPr>
    </w:p>
    <w:p w:rsidR="003B3AD2" w:rsidRDefault="003B3AD2" w:rsidP="00C92525">
      <w:pPr>
        <w:autoSpaceDE w:val="0"/>
        <w:autoSpaceDN w:val="0"/>
        <w:adjustRightInd w:val="0"/>
        <w:rPr>
          <w:rFonts w:ascii="Georgia" w:eastAsia="Calibri" w:hAnsi="Georgia"/>
          <w:bCs/>
          <w:sz w:val="24"/>
          <w:szCs w:val="24"/>
          <w:lang w:val="en-US"/>
        </w:rPr>
      </w:pPr>
      <w:r>
        <w:rPr>
          <w:rFonts w:ascii="Georgia" w:eastAsia="Calibri" w:hAnsi="Georgia"/>
          <w:bCs/>
          <w:sz w:val="24"/>
          <w:szCs w:val="24"/>
          <w:lang w:val="en-US"/>
        </w:rPr>
        <w:t xml:space="preserve">The Table Below shows </w:t>
      </w:r>
      <w:bookmarkStart w:id="0" w:name="_GoBack"/>
      <w:r>
        <w:rPr>
          <w:rFonts w:ascii="Georgia" w:eastAsia="Calibri" w:hAnsi="Georgia"/>
          <w:bCs/>
          <w:sz w:val="24"/>
          <w:szCs w:val="24"/>
          <w:lang w:val="en-US"/>
        </w:rPr>
        <w:t xml:space="preserve">the number of LRBA documents that Heffron SMSF Solutions </w:t>
      </w:r>
      <w:r w:rsidR="005D23E8">
        <w:rPr>
          <w:rFonts w:ascii="Georgia" w:eastAsia="Calibri" w:hAnsi="Georgia"/>
          <w:bCs/>
          <w:sz w:val="24"/>
          <w:szCs w:val="24"/>
          <w:lang w:val="en-US"/>
        </w:rPr>
        <w:t>have put in place for Fund Administration clients</w:t>
      </w:r>
      <w:r>
        <w:rPr>
          <w:rFonts w:ascii="Georgia" w:eastAsia="Calibri" w:hAnsi="Georgia"/>
          <w:bCs/>
          <w:sz w:val="24"/>
          <w:szCs w:val="24"/>
          <w:lang w:val="en-US"/>
        </w:rPr>
        <w:t xml:space="preserve"> (</w:t>
      </w:r>
      <w:r w:rsidR="00746779">
        <w:rPr>
          <w:rFonts w:ascii="Georgia" w:eastAsia="Calibri" w:hAnsi="Georgia"/>
          <w:bCs/>
          <w:sz w:val="24"/>
          <w:szCs w:val="24"/>
          <w:lang w:val="en-US"/>
        </w:rPr>
        <w:t>financial</w:t>
      </w:r>
      <w:r>
        <w:rPr>
          <w:rFonts w:ascii="Georgia" w:eastAsia="Calibri" w:hAnsi="Georgia"/>
          <w:bCs/>
          <w:sz w:val="24"/>
          <w:szCs w:val="24"/>
          <w:lang w:val="en-US"/>
        </w:rPr>
        <w:t xml:space="preserve"> year)</w:t>
      </w:r>
      <w:bookmarkEnd w:id="0"/>
    </w:p>
    <w:tbl>
      <w:tblPr>
        <w:tblStyle w:val="TableGrid"/>
        <w:tblpPr w:leftFromText="180" w:rightFromText="180" w:vertAnchor="text" w:horzAnchor="margin" w:tblpXSpec="center" w:tblpY="325"/>
        <w:tblW w:w="10024" w:type="dxa"/>
        <w:tblLayout w:type="fixed"/>
        <w:tblLook w:val="04A0" w:firstRow="1" w:lastRow="0" w:firstColumn="1" w:lastColumn="0" w:noHBand="0" w:noVBand="1"/>
      </w:tblPr>
      <w:tblGrid>
        <w:gridCol w:w="1985"/>
        <w:gridCol w:w="1985"/>
        <w:gridCol w:w="2126"/>
        <w:gridCol w:w="1944"/>
        <w:gridCol w:w="1984"/>
      </w:tblGrid>
      <w:tr w:rsidR="005D23E8" w:rsidTr="005D23E8">
        <w:tc>
          <w:tcPr>
            <w:tcW w:w="1985" w:type="dxa"/>
          </w:tcPr>
          <w:p w:rsidR="005D23E8" w:rsidRPr="005D23E8" w:rsidRDefault="005D23E8" w:rsidP="005D23E8">
            <w:pPr>
              <w:autoSpaceDE w:val="0"/>
              <w:autoSpaceDN w:val="0"/>
              <w:adjustRightInd w:val="0"/>
              <w:rPr>
                <w:rFonts w:ascii="Georgia" w:eastAsia="Calibri" w:hAnsi="Georgia"/>
                <w:b/>
                <w:bCs/>
                <w:sz w:val="22"/>
                <w:szCs w:val="22"/>
                <w:lang w:val="en-US"/>
              </w:rPr>
            </w:pPr>
            <w:r w:rsidRPr="005D23E8">
              <w:rPr>
                <w:rFonts w:ascii="Georgia" w:eastAsia="Calibri" w:hAnsi="Georgia"/>
                <w:b/>
                <w:bCs/>
                <w:sz w:val="22"/>
                <w:szCs w:val="22"/>
                <w:lang w:val="en-US"/>
              </w:rPr>
              <w:t>Heffron Funds under Administration</w:t>
            </w:r>
          </w:p>
        </w:tc>
        <w:tc>
          <w:tcPr>
            <w:tcW w:w="1985" w:type="dxa"/>
          </w:tcPr>
          <w:p w:rsidR="005D23E8" w:rsidRPr="005D23E8" w:rsidRDefault="00A968D4" w:rsidP="005D23E8">
            <w:pPr>
              <w:autoSpaceDE w:val="0"/>
              <w:autoSpaceDN w:val="0"/>
              <w:adjustRightInd w:val="0"/>
              <w:rPr>
                <w:rFonts w:ascii="Georgia" w:eastAsia="Calibri" w:hAnsi="Georgia"/>
                <w:b/>
                <w:bCs/>
                <w:sz w:val="22"/>
                <w:szCs w:val="22"/>
                <w:lang w:val="en-US"/>
              </w:rPr>
            </w:pPr>
            <w:r>
              <w:rPr>
                <w:rFonts w:ascii="Georgia" w:eastAsia="Calibri" w:hAnsi="Georgia"/>
                <w:b/>
                <w:bCs/>
                <w:sz w:val="22"/>
                <w:szCs w:val="22"/>
                <w:lang w:val="en-US"/>
              </w:rPr>
              <w:t>2010/11</w:t>
            </w:r>
            <w:r w:rsidR="005D23E8" w:rsidRPr="005D23E8">
              <w:rPr>
                <w:rFonts w:ascii="Georgia" w:eastAsia="Calibri" w:hAnsi="Georgia"/>
                <w:b/>
                <w:bCs/>
                <w:sz w:val="22"/>
                <w:szCs w:val="22"/>
                <w:lang w:val="en-US"/>
              </w:rPr>
              <w:t xml:space="preserve"> </w:t>
            </w:r>
          </w:p>
        </w:tc>
        <w:tc>
          <w:tcPr>
            <w:tcW w:w="2126" w:type="dxa"/>
          </w:tcPr>
          <w:p w:rsidR="005D23E8" w:rsidRPr="005D23E8" w:rsidRDefault="00A968D4" w:rsidP="005D23E8">
            <w:pPr>
              <w:autoSpaceDE w:val="0"/>
              <w:autoSpaceDN w:val="0"/>
              <w:adjustRightInd w:val="0"/>
              <w:rPr>
                <w:rFonts w:ascii="Georgia" w:eastAsia="Calibri" w:hAnsi="Georgia"/>
                <w:b/>
                <w:bCs/>
                <w:sz w:val="22"/>
                <w:szCs w:val="22"/>
                <w:lang w:val="en-US"/>
              </w:rPr>
            </w:pPr>
            <w:r>
              <w:rPr>
                <w:rFonts w:ascii="Georgia" w:eastAsia="Calibri" w:hAnsi="Georgia"/>
                <w:b/>
                <w:bCs/>
                <w:sz w:val="22"/>
                <w:szCs w:val="22"/>
                <w:lang w:val="en-US"/>
              </w:rPr>
              <w:t>2011/12</w:t>
            </w:r>
          </w:p>
        </w:tc>
        <w:tc>
          <w:tcPr>
            <w:tcW w:w="1944" w:type="dxa"/>
          </w:tcPr>
          <w:p w:rsidR="005D23E8" w:rsidRPr="005D23E8" w:rsidRDefault="00A968D4" w:rsidP="005D23E8">
            <w:pPr>
              <w:autoSpaceDE w:val="0"/>
              <w:autoSpaceDN w:val="0"/>
              <w:adjustRightInd w:val="0"/>
              <w:rPr>
                <w:rFonts w:ascii="Georgia" w:eastAsia="Calibri" w:hAnsi="Georgia"/>
                <w:b/>
                <w:bCs/>
                <w:sz w:val="22"/>
                <w:szCs w:val="22"/>
                <w:lang w:val="en-US"/>
              </w:rPr>
            </w:pPr>
            <w:r>
              <w:rPr>
                <w:rFonts w:ascii="Georgia" w:eastAsia="Calibri" w:hAnsi="Georgia"/>
                <w:b/>
                <w:bCs/>
                <w:sz w:val="22"/>
                <w:szCs w:val="22"/>
                <w:lang w:val="en-US"/>
              </w:rPr>
              <w:t>2012/13</w:t>
            </w:r>
          </w:p>
        </w:tc>
        <w:tc>
          <w:tcPr>
            <w:tcW w:w="1984" w:type="dxa"/>
          </w:tcPr>
          <w:p w:rsidR="005D23E8" w:rsidRPr="005D23E8" w:rsidRDefault="00746779" w:rsidP="005D23E8">
            <w:pPr>
              <w:autoSpaceDE w:val="0"/>
              <w:autoSpaceDN w:val="0"/>
              <w:adjustRightInd w:val="0"/>
              <w:rPr>
                <w:rFonts w:ascii="Georgia" w:eastAsia="Calibri" w:hAnsi="Georgia"/>
                <w:b/>
                <w:bCs/>
                <w:sz w:val="22"/>
                <w:szCs w:val="22"/>
                <w:lang w:val="en-US"/>
              </w:rPr>
            </w:pPr>
            <w:r>
              <w:rPr>
                <w:rFonts w:ascii="Georgia" w:eastAsia="Calibri" w:hAnsi="Georgia"/>
                <w:b/>
                <w:bCs/>
                <w:sz w:val="22"/>
                <w:szCs w:val="22"/>
                <w:lang w:val="en-US"/>
              </w:rPr>
              <w:t>2013/14</w:t>
            </w:r>
          </w:p>
        </w:tc>
      </w:tr>
      <w:tr w:rsidR="005D23E8" w:rsidTr="005D23E8">
        <w:tc>
          <w:tcPr>
            <w:tcW w:w="1985" w:type="dxa"/>
          </w:tcPr>
          <w:p w:rsidR="005D23E8" w:rsidRPr="005D23E8" w:rsidRDefault="005D23E8" w:rsidP="005D23E8">
            <w:pPr>
              <w:autoSpaceDE w:val="0"/>
              <w:autoSpaceDN w:val="0"/>
              <w:adjustRightInd w:val="0"/>
              <w:rPr>
                <w:rFonts w:ascii="Georgia" w:eastAsia="Calibri" w:hAnsi="Georgia"/>
                <w:bCs/>
                <w:sz w:val="22"/>
                <w:szCs w:val="22"/>
                <w:lang w:val="en-US"/>
              </w:rPr>
            </w:pPr>
            <w:r w:rsidRPr="005D23E8">
              <w:rPr>
                <w:rFonts w:ascii="Georgia" w:eastAsia="Calibri" w:hAnsi="Georgia"/>
                <w:bCs/>
                <w:sz w:val="22"/>
                <w:szCs w:val="22"/>
                <w:lang w:val="en-US"/>
              </w:rPr>
              <w:t>Heffron Funds under Administration</w:t>
            </w:r>
          </w:p>
        </w:tc>
        <w:tc>
          <w:tcPr>
            <w:tcW w:w="1985" w:type="dxa"/>
          </w:tcPr>
          <w:p w:rsidR="005D23E8" w:rsidRPr="005D23E8"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1,050</w:t>
            </w:r>
          </w:p>
        </w:tc>
        <w:tc>
          <w:tcPr>
            <w:tcW w:w="2126" w:type="dxa"/>
          </w:tcPr>
          <w:p w:rsidR="005D23E8" w:rsidRPr="005D23E8" w:rsidDel="00011096" w:rsidRDefault="00F65773"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1,</w:t>
            </w:r>
            <w:r w:rsidR="00A968D4">
              <w:rPr>
                <w:rFonts w:ascii="Georgia" w:eastAsia="Calibri" w:hAnsi="Georgia"/>
                <w:bCs/>
                <w:sz w:val="22"/>
                <w:szCs w:val="22"/>
                <w:lang w:val="en-US"/>
              </w:rPr>
              <w:t>25</w:t>
            </w:r>
            <w:r>
              <w:rPr>
                <w:rFonts w:ascii="Georgia" w:eastAsia="Calibri" w:hAnsi="Georgia"/>
                <w:bCs/>
                <w:sz w:val="22"/>
                <w:szCs w:val="22"/>
                <w:lang w:val="en-US"/>
              </w:rPr>
              <w:t>0</w:t>
            </w:r>
          </w:p>
        </w:tc>
        <w:tc>
          <w:tcPr>
            <w:tcW w:w="1944" w:type="dxa"/>
          </w:tcPr>
          <w:p w:rsidR="005D23E8" w:rsidRPr="005D23E8" w:rsidDel="00011096"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1,5</w:t>
            </w:r>
            <w:r w:rsidR="005D23E8" w:rsidRPr="005D23E8">
              <w:rPr>
                <w:rFonts w:ascii="Georgia" w:eastAsia="Calibri" w:hAnsi="Georgia"/>
                <w:bCs/>
                <w:sz w:val="22"/>
                <w:szCs w:val="22"/>
                <w:lang w:val="en-US"/>
              </w:rPr>
              <w:t>00</w:t>
            </w:r>
          </w:p>
        </w:tc>
        <w:tc>
          <w:tcPr>
            <w:tcW w:w="1984" w:type="dxa"/>
          </w:tcPr>
          <w:p w:rsidR="005D23E8" w:rsidRPr="005D23E8" w:rsidRDefault="005D23E8" w:rsidP="005D23E8">
            <w:pPr>
              <w:autoSpaceDE w:val="0"/>
              <w:autoSpaceDN w:val="0"/>
              <w:adjustRightInd w:val="0"/>
              <w:rPr>
                <w:rFonts w:ascii="Georgia" w:eastAsia="Calibri" w:hAnsi="Georgia"/>
                <w:bCs/>
                <w:sz w:val="22"/>
                <w:szCs w:val="22"/>
                <w:lang w:val="en-US"/>
              </w:rPr>
            </w:pPr>
            <w:r w:rsidRPr="005D23E8">
              <w:rPr>
                <w:rFonts w:ascii="Georgia" w:eastAsia="Calibri" w:hAnsi="Georgia"/>
                <w:bCs/>
                <w:sz w:val="22"/>
                <w:szCs w:val="22"/>
                <w:lang w:val="en-US"/>
              </w:rPr>
              <w:t>1,700</w:t>
            </w:r>
          </w:p>
        </w:tc>
      </w:tr>
      <w:tr w:rsidR="005D23E8" w:rsidTr="005D23E8">
        <w:tc>
          <w:tcPr>
            <w:tcW w:w="1985" w:type="dxa"/>
          </w:tcPr>
          <w:p w:rsidR="005D23E8" w:rsidRPr="005D23E8" w:rsidRDefault="005D23E8" w:rsidP="005D23E8">
            <w:pPr>
              <w:autoSpaceDE w:val="0"/>
              <w:autoSpaceDN w:val="0"/>
              <w:adjustRightInd w:val="0"/>
              <w:rPr>
                <w:rFonts w:ascii="Georgia" w:eastAsia="Calibri" w:hAnsi="Georgia"/>
                <w:bCs/>
                <w:sz w:val="22"/>
                <w:szCs w:val="22"/>
                <w:lang w:val="en-US"/>
              </w:rPr>
            </w:pPr>
            <w:r w:rsidRPr="005D23E8">
              <w:rPr>
                <w:rFonts w:ascii="Georgia" w:eastAsia="Calibri" w:hAnsi="Georgia"/>
                <w:bCs/>
                <w:sz w:val="22"/>
                <w:szCs w:val="22"/>
                <w:lang w:val="en-US"/>
              </w:rPr>
              <w:t xml:space="preserve">LRBAs </w:t>
            </w:r>
            <w:r>
              <w:rPr>
                <w:rFonts w:ascii="Georgia" w:eastAsia="Calibri" w:hAnsi="Georgia"/>
                <w:bCs/>
                <w:sz w:val="22"/>
                <w:szCs w:val="22"/>
                <w:lang w:val="en-US"/>
              </w:rPr>
              <w:t xml:space="preserve">put </w:t>
            </w:r>
            <w:r w:rsidR="00746779">
              <w:rPr>
                <w:rFonts w:ascii="Georgia" w:eastAsia="Calibri" w:hAnsi="Georgia"/>
                <w:bCs/>
                <w:sz w:val="22"/>
                <w:szCs w:val="22"/>
                <w:lang w:val="en-US"/>
              </w:rPr>
              <w:t>in place</w:t>
            </w:r>
          </w:p>
        </w:tc>
        <w:tc>
          <w:tcPr>
            <w:tcW w:w="1985" w:type="dxa"/>
          </w:tcPr>
          <w:p w:rsidR="005D23E8" w:rsidRPr="005D23E8"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9</w:t>
            </w:r>
            <w:r w:rsidR="00746779">
              <w:rPr>
                <w:rFonts w:ascii="Georgia" w:eastAsia="Calibri" w:hAnsi="Georgia"/>
                <w:bCs/>
                <w:sz w:val="22"/>
                <w:szCs w:val="22"/>
                <w:lang w:val="en-US"/>
              </w:rPr>
              <w:t xml:space="preserve"> </w:t>
            </w:r>
          </w:p>
        </w:tc>
        <w:tc>
          <w:tcPr>
            <w:tcW w:w="2126" w:type="dxa"/>
          </w:tcPr>
          <w:p w:rsidR="005D23E8" w:rsidRPr="005D23E8"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15</w:t>
            </w:r>
            <w:r w:rsidR="00746779">
              <w:rPr>
                <w:rFonts w:ascii="Georgia" w:eastAsia="Calibri" w:hAnsi="Georgia"/>
                <w:bCs/>
                <w:sz w:val="22"/>
                <w:szCs w:val="22"/>
                <w:lang w:val="en-US"/>
              </w:rPr>
              <w:t xml:space="preserve"> </w:t>
            </w:r>
          </w:p>
        </w:tc>
        <w:tc>
          <w:tcPr>
            <w:tcW w:w="1944" w:type="dxa"/>
          </w:tcPr>
          <w:p w:rsidR="005D23E8" w:rsidRPr="005D23E8" w:rsidDel="00011096"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5</w:t>
            </w:r>
            <w:r w:rsidR="00F65773">
              <w:rPr>
                <w:rFonts w:ascii="Georgia" w:eastAsia="Calibri" w:hAnsi="Georgia"/>
                <w:bCs/>
                <w:sz w:val="22"/>
                <w:szCs w:val="22"/>
                <w:lang w:val="en-US"/>
              </w:rPr>
              <w:t>6</w:t>
            </w:r>
            <w:r w:rsidR="00746779">
              <w:rPr>
                <w:rFonts w:ascii="Georgia" w:eastAsia="Calibri" w:hAnsi="Georgia"/>
                <w:bCs/>
                <w:sz w:val="22"/>
                <w:szCs w:val="22"/>
                <w:lang w:val="en-US"/>
              </w:rPr>
              <w:t xml:space="preserve"> </w:t>
            </w:r>
          </w:p>
        </w:tc>
        <w:tc>
          <w:tcPr>
            <w:tcW w:w="1984" w:type="dxa"/>
          </w:tcPr>
          <w:p w:rsidR="005D23E8" w:rsidRPr="005D23E8"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46</w:t>
            </w:r>
            <w:r w:rsidR="00746779">
              <w:rPr>
                <w:rFonts w:ascii="Georgia" w:eastAsia="Calibri" w:hAnsi="Georgia"/>
                <w:bCs/>
                <w:sz w:val="22"/>
                <w:szCs w:val="22"/>
                <w:lang w:val="en-US"/>
              </w:rPr>
              <w:t xml:space="preserve"> </w:t>
            </w:r>
          </w:p>
        </w:tc>
      </w:tr>
      <w:tr w:rsidR="005D23E8" w:rsidTr="005D23E8">
        <w:tc>
          <w:tcPr>
            <w:tcW w:w="1985" w:type="dxa"/>
          </w:tcPr>
          <w:p w:rsidR="005D23E8" w:rsidRPr="005D23E8" w:rsidDel="00011096" w:rsidRDefault="005D23E8" w:rsidP="00A968D4">
            <w:pPr>
              <w:autoSpaceDE w:val="0"/>
              <w:autoSpaceDN w:val="0"/>
              <w:adjustRightInd w:val="0"/>
              <w:rPr>
                <w:rFonts w:ascii="Georgia" w:eastAsia="Calibri" w:hAnsi="Georgia"/>
                <w:bCs/>
                <w:sz w:val="22"/>
                <w:szCs w:val="22"/>
                <w:lang w:val="en-US"/>
              </w:rPr>
            </w:pPr>
            <w:r w:rsidRPr="005D23E8">
              <w:rPr>
                <w:rFonts w:ascii="Georgia" w:eastAsia="Calibri" w:hAnsi="Georgia"/>
                <w:bCs/>
                <w:sz w:val="22"/>
                <w:szCs w:val="22"/>
                <w:lang w:val="en-US"/>
              </w:rPr>
              <w:t>Commercial/</w:t>
            </w:r>
            <w:r w:rsidR="00A968D4">
              <w:rPr>
                <w:rFonts w:ascii="Georgia" w:eastAsia="Calibri" w:hAnsi="Georgia"/>
                <w:bCs/>
                <w:sz w:val="22"/>
                <w:szCs w:val="22"/>
                <w:lang w:val="en-US"/>
              </w:rPr>
              <w:t xml:space="preserve">  Investment Property</w:t>
            </w:r>
            <w:r w:rsidR="00746779">
              <w:rPr>
                <w:rFonts w:ascii="Georgia" w:eastAsia="Calibri" w:hAnsi="Georgia"/>
                <w:bCs/>
                <w:sz w:val="22"/>
                <w:szCs w:val="22"/>
                <w:lang w:val="en-US"/>
              </w:rPr>
              <w:t xml:space="preserve"> / Other</w:t>
            </w:r>
          </w:p>
        </w:tc>
        <w:tc>
          <w:tcPr>
            <w:tcW w:w="1985" w:type="dxa"/>
          </w:tcPr>
          <w:p w:rsidR="005D23E8" w:rsidRPr="005D23E8" w:rsidRDefault="00A968D4" w:rsidP="00A968D4">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4 Commercial /    4 Investment</w:t>
            </w:r>
            <w:r w:rsidR="00746779">
              <w:rPr>
                <w:rFonts w:ascii="Georgia" w:eastAsia="Calibri" w:hAnsi="Georgia"/>
                <w:bCs/>
                <w:sz w:val="22"/>
                <w:szCs w:val="22"/>
                <w:lang w:val="en-US"/>
              </w:rPr>
              <w:t xml:space="preserve"> /     1 Other</w:t>
            </w:r>
          </w:p>
        </w:tc>
        <w:tc>
          <w:tcPr>
            <w:tcW w:w="2126" w:type="dxa"/>
          </w:tcPr>
          <w:p w:rsidR="005D23E8" w:rsidRPr="005D23E8"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8</w:t>
            </w:r>
            <w:r w:rsidR="005D23E8" w:rsidRPr="005D23E8">
              <w:rPr>
                <w:rFonts w:ascii="Georgia" w:eastAsia="Calibri" w:hAnsi="Georgia"/>
                <w:bCs/>
                <w:sz w:val="22"/>
                <w:szCs w:val="22"/>
                <w:lang w:val="en-US"/>
              </w:rPr>
              <w:t xml:space="preserve"> Commercial / </w:t>
            </w:r>
            <w:r>
              <w:rPr>
                <w:rFonts w:ascii="Georgia" w:eastAsia="Calibri" w:hAnsi="Georgia"/>
                <w:bCs/>
                <w:sz w:val="22"/>
                <w:szCs w:val="22"/>
                <w:lang w:val="en-US"/>
              </w:rPr>
              <w:t xml:space="preserve">     6 Investment</w:t>
            </w:r>
            <w:r w:rsidR="00746779">
              <w:rPr>
                <w:rFonts w:ascii="Georgia" w:eastAsia="Calibri" w:hAnsi="Georgia"/>
                <w:bCs/>
                <w:sz w:val="22"/>
                <w:szCs w:val="22"/>
                <w:lang w:val="en-US"/>
              </w:rPr>
              <w:t xml:space="preserve"> /        1 Other</w:t>
            </w:r>
          </w:p>
        </w:tc>
        <w:tc>
          <w:tcPr>
            <w:tcW w:w="1944" w:type="dxa"/>
          </w:tcPr>
          <w:p w:rsidR="005D23E8" w:rsidRPr="005D23E8"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7</w:t>
            </w:r>
            <w:r w:rsidRPr="005D23E8">
              <w:rPr>
                <w:rFonts w:ascii="Georgia" w:eastAsia="Calibri" w:hAnsi="Georgia"/>
                <w:bCs/>
                <w:sz w:val="22"/>
                <w:szCs w:val="22"/>
                <w:lang w:val="en-US"/>
              </w:rPr>
              <w:t xml:space="preserve"> Commercial / </w:t>
            </w:r>
            <w:r>
              <w:rPr>
                <w:rFonts w:ascii="Georgia" w:eastAsia="Calibri" w:hAnsi="Georgia"/>
                <w:bCs/>
                <w:sz w:val="22"/>
                <w:szCs w:val="22"/>
                <w:lang w:val="en-US"/>
              </w:rPr>
              <w:t xml:space="preserve">     49 Investment</w:t>
            </w:r>
          </w:p>
        </w:tc>
        <w:tc>
          <w:tcPr>
            <w:tcW w:w="1984" w:type="dxa"/>
          </w:tcPr>
          <w:p w:rsidR="005D23E8" w:rsidRPr="005D23E8" w:rsidRDefault="00A968D4" w:rsidP="005D23E8">
            <w:pPr>
              <w:autoSpaceDE w:val="0"/>
              <w:autoSpaceDN w:val="0"/>
              <w:adjustRightInd w:val="0"/>
              <w:rPr>
                <w:rFonts w:ascii="Georgia" w:eastAsia="Calibri" w:hAnsi="Georgia"/>
                <w:bCs/>
                <w:sz w:val="22"/>
                <w:szCs w:val="22"/>
                <w:lang w:val="en-US"/>
              </w:rPr>
            </w:pPr>
            <w:r>
              <w:rPr>
                <w:rFonts w:ascii="Georgia" w:eastAsia="Calibri" w:hAnsi="Georgia"/>
                <w:bCs/>
                <w:sz w:val="22"/>
                <w:szCs w:val="22"/>
                <w:lang w:val="en-US"/>
              </w:rPr>
              <w:t>5 Commercial / 39 Investment</w:t>
            </w:r>
            <w:r w:rsidR="00746779">
              <w:rPr>
                <w:rFonts w:ascii="Georgia" w:eastAsia="Calibri" w:hAnsi="Georgia"/>
                <w:bCs/>
                <w:sz w:val="22"/>
                <w:szCs w:val="22"/>
                <w:lang w:val="en-US"/>
              </w:rPr>
              <w:t xml:space="preserve"> /   2 Other</w:t>
            </w:r>
          </w:p>
        </w:tc>
      </w:tr>
    </w:tbl>
    <w:p w:rsidR="003B3AD2" w:rsidRDefault="003B3AD2" w:rsidP="00C92525">
      <w:pPr>
        <w:autoSpaceDE w:val="0"/>
        <w:autoSpaceDN w:val="0"/>
        <w:adjustRightInd w:val="0"/>
        <w:rPr>
          <w:rFonts w:ascii="Georgia" w:eastAsia="Calibri" w:hAnsi="Georgia"/>
          <w:bCs/>
          <w:sz w:val="24"/>
          <w:szCs w:val="24"/>
          <w:lang w:val="en-US"/>
        </w:rPr>
      </w:pPr>
    </w:p>
    <w:p w:rsidR="00A968D4" w:rsidRPr="00746779" w:rsidRDefault="003B3AD2" w:rsidP="00C92525">
      <w:pPr>
        <w:autoSpaceDE w:val="0"/>
        <w:autoSpaceDN w:val="0"/>
        <w:adjustRightInd w:val="0"/>
        <w:rPr>
          <w:rFonts w:ascii="Georgia" w:eastAsiaTheme="minorHAnsi" w:hAnsi="Georgia" w:cstheme="minorBidi"/>
          <w:sz w:val="24"/>
          <w:szCs w:val="24"/>
          <w:shd w:val="clear" w:color="auto" w:fill="FFFFFF"/>
          <w:lang w:val="en-AU"/>
        </w:rPr>
      </w:pPr>
      <w:r w:rsidRPr="00746779">
        <w:rPr>
          <w:rFonts w:ascii="Georgia" w:eastAsia="Calibri" w:hAnsi="Georgia"/>
          <w:bCs/>
          <w:sz w:val="24"/>
          <w:szCs w:val="24"/>
          <w:lang w:val="en-US"/>
        </w:rPr>
        <w:t xml:space="preserve"> </w:t>
      </w:r>
      <w:r w:rsidR="00AD7C98" w:rsidRPr="00746779">
        <w:rPr>
          <w:rFonts w:ascii="Georgia" w:eastAsia="Calibri" w:hAnsi="Georgia"/>
          <w:bCs/>
          <w:sz w:val="24"/>
          <w:szCs w:val="24"/>
          <w:lang w:val="en-US"/>
        </w:rPr>
        <w:t>“</w:t>
      </w:r>
      <w:r w:rsidR="00746779">
        <w:rPr>
          <w:rFonts w:ascii="Georgia" w:hAnsi="Georgia"/>
          <w:sz w:val="24"/>
          <w:szCs w:val="24"/>
        </w:rPr>
        <w:t>The data shows that LRBA</w:t>
      </w:r>
      <w:r w:rsidR="00746779" w:rsidRPr="00746779">
        <w:rPr>
          <w:rFonts w:ascii="Georgia" w:hAnsi="Georgia"/>
          <w:sz w:val="24"/>
          <w:szCs w:val="24"/>
        </w:rPr>
        <w:t>s are growing, albeit off a small base, and it continues to be quite a small proport</w:t>
      </w:r>
      <w:r w:rsidR="00746779">
        <w:rPr>
          <w:rFonts w:ascii="Georgia" w:hAnsi="Georgia"/>
          <w:sz w:val="24"/>
          <w:szCs w:val="24"/>
        </w:rPr>
        <w:t>ion across all of our funds.  T</w:t>
      </w:r>
      <w:r w:rsidR="00746779" w:rsidRPr="00746779">
        <w:rPr>
          <w:rFonts w:ascii="Georgia" w:hAnsi="Georgia"/>
          <w:sz w:val="24"/>
          <w:szCs w:val="24"/>
        </w:rPr>
        <w:t>his is also reflected in ATO data in relation to the whole SMSF industry</w:t>
      </w:r>
      <w:r w:rsidR="0024377C" w:rsidRPr="00746779">
        <w:rPr>
          <w:rFonts w:ascii="Georgia" w:eastAsiaTheme="minorHAnsi" w:hAnsi="Georgia"/>
          <w:sz w:val="24"/>
          <w:szCs w:val="24"/>
        </w:rPr>
        <w:t>.”</w:t>
      </w:r>
      <w:r w:rsidR="00061CD1" w:rsidRPr="00746779">
        <w:rPr>
          <w:rFonts w:ascii="Georgia" w:eastAsiaTheme="minorHAnsi" w:hAnsi="Georgia" w:cstheme="minorBidi"/>
          <w:sz w:val="24"/>
          <w:szCs w:val="24"/>
          <w:shd w:val="clear" w:color="auto" w:fill="FFFFFF"/>
          <w:lang w:val="en-AU"/>
        </w:rPr>
        <w:t xml:space="preserve"> </w:t>
      </w:r>
    </w:p>
    <w:p w:rsidR="00AD7C98" w:rsidRPr="003B3AD2" w:rsidRDefault="003B3AD2" w:rsidP="00C92525">
      <w:pPr>
        <w:autoSpaceDE w:val="0"/>
        <w:autoSpaceDN w:val="0"/>
        <w:adjustRightInd w:val="0"/>
        <w:rPr>
          <w:rFonts w:ascii="Georgia" w:eastAsiaTheme="minorHAnsi" w:hAnsi="Georgia" w:cstheme="minorBidi"/>
          <w:sz w:val="24"/>
          <w:szCs w:val="16"/>
          <w:shd w:val="clear" w:color="auto" w:fill="FFFFFF"/>
          <w:lang w:val="en-AU"/>
        </w:rPr>
      </w:pPr>
      <w:r>
        <w:rPr>
          <w:rFonts w:ascii="Georgia" w:eastAsiaTheme="minorHAnsi" w:hAnsi="Georgia" w:cstheme="minorBidi"/>
          <w:sz w:val="24"/>
          <w:szCs w:val="16"/>
          <w:shd w:val="clear" w:color="auto" w:fill="FFFFFF"/>
          <w:lang w:val="en-AU"/>
        </w:rPr>
        <w:t>“I</w:t>
      </w:r>
      <w:r w:rsidR="00A968D4">
        <w:rPr>
          <w:rFonts w:ascii="Georgia" w:eastAsiaTheme="minorHAnsi" w:hAnsi="Georgia" w:cstheme="minorBidi"/>
          <w:sz w:val="24"/>
          <w:szCs w:val="16"/>
          <w:shd w:val="clear" w:color="auto" w:fill="FFFFFF"/>
          <w:lang w:val="en-AU"/>
        </w:rPr>
        <w:t>t also interesting to note</w:t>
      </w:r>
      <w:r>
        <w:rPr>
          <w:rFonts w:ascii="Georgia" w:eastAsiaTheme="minorHAnsi" w:hAnsi="Georgia" w:cstheme="minorBidi"/>
          <w:sz w:val="24"/>
          <w:szCs w:val="16"/>
          <w:shd w:val="clear" w:color="auto" w:fill="FFFFFF"/>
          <w:lang w:val="en-AU"/>
        </w:rPr>
        <w:t xml:space="preserve"> that </w:t>
      </w:r>
      <w:r w:rsidR="00A968D4">
        <w:rPr>
          <w:rFonts w:ascii="Georgia" w:eastAsiaTheme="minorHAnsi" w:hAnsi="Georgia" w:cstheme="minorBidi"/>
          <w:sz w:val="24"/>
          <w:szCs w:val="16"/>
          <w:shd w:val="clear" w:color="auto" w:fill="FFFFFF"/>
          <w:lang w:val="en-AU"/>
        </w:rPr>
        <w:t>the majority of LRBA loans put in place have been in relation to investment properties verses c</w:t>
      </w:r>
      <w:r w:rsidR="004605C4">
        <w:rPr>
          <w:rFonts w:ascii="Georgia" w:eastAsiaTheme="minorHAnsi" w:hAnsi="Georgia" w:cstheme="minorBidi"/>
          <w:sz w:val="24"/>
          <w:szCs w:val="16"/>
          <w:shd w:val="clear" w:color="auto" w:fill="FFFFFF"/>
          <w:lang w:val="en-AU"/>
        </w:rPr>
        <w:t xml:space="preserve">ommercial properties.  Of those, </w:t>
      </w:r>
      <w:r w:rsidR="00A968D4">
        <w:rPr>
          <w:rFonts w:ascii="Georgia" w:eastAsiaTheme="minorHAnsi" w:hAnsi="Georgia" w:cstheme="minorBidi"/>
          <w:sz w:val="24"/>
          <w:szCs w:val="16"/>
          <w:shd w:val="clear" w:color="auto" w:fill="FFFFFF"/>
          <w:lang w:val="en-AU"/>
        </w:rPr>
        <w:t>86% have been advised by a Financial A</w:t>
      </w:r>
      <w:r w:rsidR="004605C4">
        <w:rPr>
          <w:rFonts w:ascii="Georgia" w:eastAsiaTheme="minorHAnsi" w:hAnsi="Georgia" w:cstheme="minorBidi"/>
          <w:sz w:val="24"/>
          <w:szCs w:val="16"/>
          <w:shd w:val="clear" w:color="auto" w:fill="FFFFFF"/>
          <w:lang w:val="en-AU"/>
        </w:rPr>
        <w:t>dviser, reflecting the increasing</w:t>
      </w:r>
      <w:r w:rsidR="00A968D4">
        <w:rPr>
          <w:rFonts w:ascii="Georgia" w:eastAsiaTheme="minorHAnsi" w:hAnsi="Georgia" w:cstheme="minorBidi"/>
          <w:sz w:val="24"/>
          <w:szCs w:val="16"/>
          <w:shd w:val="clear" w:color="auto" w:fill="FFFFFF"/>
          <w:lang w:val="en-AU"/>
        </w:rPr>
        <w:t xml:space="preserve"> role that Financial Advisers are playing when it comes to property investments.</w:t>
      </w:r>
      <w:r>
        <w:rPr>
          <w:rFonts w:ascii="Georgia" w:eastAsiaTheme="minorHAnsi" w:hAnsi="Georgia" w:cstheme="minorBidi"/>
          <w:sz w:val="24"/>
          <w:szCs w:val="16"/>
          <w:shd w:val="clear" w:color="auto" w:fill="FFFFFF"/>
          <w:lang w:val="en-AU"/>
        </w:rPr>
        <w:t>”</w:t>
      </w:r>
      <w:r w:rsidR="00A968D4">
        <w:rPr>
          <w:rFonts w:ascii="Georgia" w:eastAsiaTheme="minorHAnsi" w:hAnsi="Georgia" w:cstheme="minorBidi"/>
          <w:sz w:val="24"/>
          <w:szCs w:val="16"/>
          <w:shd w:val="clear" w:color="auto" w:fill="FFFFFF"/>
          <w:lang w:val="en-AU"/>
        </w:rPr>
        <w:t xml:space="preserve"> Says Mr Pinches.</w:t>
      </w:r>
    </w:p>
    <w:p w:rsidR="0024377C" w:rsidRDefault="0024377C" w:rsidP="00C92525">
      <w:pPr>
        <w:autoSpaceDE w:val="0"/>
        <w:autoSpaceDN w:val="0"/>
        <w:adjustRightInd w:val="0"/>
        <w:rPr>
          <w:rFonts w:ascii="Georgia" w:eastAsiaTheme="minorHAnsi" w:hAnsi="Georgia" w:cstheme="minorBidi"/>
          <w:sz w:val="24"/>
          <w:szCs w:val="16"/>
          <w:shd w:val="clear" w:color="auto" w:fill="FFFFFF"/>
          <w:lang w:val="en-AU"/>
        </w:rPr>
      </w:pPr>
    </w:p>
    <w:p w:rsidR="00182558" w:rsidRDefault="00AD7C98" w:rsidP="00C92525">
      <w:pPr>
        <w:autoSpaceDE w:val="0"/>
        <w:autoSpaceDN w:val="0"/>
        <w:adjustRightInd w:val="0"/>
        <w:rPr>
          <w:rFonts w:ascii="Georgia" w:eastAsiaTheme="minorHAnsi" w:hAnsi="Georgia" w:cstheme="minorBidi"/>
          <w:sz w:val="24"/>
          <w:szCs w:val="16"/>
          <w:shd w:val="clear" w:color="auto" w:fill="FFFFFF"/>
          <w:lang w:val="en-AU"/>
        </w:rPr>
      </w:pPr>
      <w:r>
        <w:rPr>
          <w:rFonts w:ascii="Georgia" w:eastAsiaTheme="minorHAnsi" w:hAnsi="Georgia" w:cstheme="minorBidi"/>
          <w:sz w:val="24"/>
          <w:szCs w:val="16"/>
          <w:shd w:val="clear" w:color="auto" w:fill="FFFFFF"/>
          <w:lang w:val="en-AU"/>
        </w:rPr>
        <w:lastRenderedPageBreak/>
        <w:t>“</w:t>
      </w:r>
      <w:r w:rsidR="004605C4">
        <w:rPr>
          <w:rFonts w:ascii="Georgia" w:eastAsiaTheme="minorHAnsi" w:hAnsi="Georgia" w:cstheme="minorBidi"/>
          <w:sz w:val="24"/>
          <w:szCs w:val="16"/>
          <w:shd w:val="clear" w:color="auto" w:fill="FFFFFF"/>
          <w:lang w:val="en-AU"/>
        </w:rPr>
        <w:t>In our experience, the involvement of a licenced Financial Adviser in the LRBA process will generally mean that the SMSF trustee has received advice about the property investment and the “ins and outs” of the LRBA structure.  This is contrary to popular belief that SMSF trustees are entering these arrangements without any advice or guidance</w:t>
      </w:r>
      <w:r w:rsidR="0024377C">
        <w:rPr>
          <w:rFonts w:ascii="Georgia" w:eastAsiaTheme="minorHAnsi" w:hAnsi="Georgia" w:cstheme="minorBidi"/>
          <w:sz w:val="24"/>
          <w:szCs w:val="16"/>
          <w:shd w:val="clear" w:color="auto" w:fill="FFFFFF"/>
          <w:lang w:val="en-AU"/>
        </w:rPr>
        <w:t>.</w:t>
      </w:r>
      <w:r w:rsidR="00182558">
        <w:rPr>
          <w:rFonts w:ascii="Georgia" w:eastAsiaTheme="minorHAnsi" w:hAnsi="Georgia" w:cstheme="minorBidi"/>
          <w:sz w:val="24"/>
          <w:szCs w:val="16"/>
          <w:shd w:val="clear" w:color="auto" w:fill="FFFFFF"/>
          <w:lang w:val="en-AU"/>
        </w:rPr>
        <w:t>”</w:t>
      </w:r>
      <w:r w:rsidR="00CF1E62">
        <w:rPr>
          <w:rFonts w:ascii="Georgia" w:eastAsiaTheme="minorHAnsi" w:hAnsi="Georgia" w:cstheme="minorBidi"/>
          <w:sz w:val="24"/>
          <w:szCs w:val="16"/>
          <w:shd w:val="clear" w:color="auto" w:fill="FFFFFF"/>
          <w:lang w:val="en-AU"/>
        </w:rPr>
        <w:t xml:space="preserve"> </w:t>
      </w:r>
      <w:r w:rsidR="0024377C">
        <w:rPr>
          <w:rFonts w:ascii="Georgia" w:eastAsiaTheme="minorHAnsi" w:hAnsi="Georgia" w:cstheme="minorBidi"/>
          <w:sz w:val="24"/>
          <w:szCs w:val="16"/>
          <w:shd w:val="clear" w:color="auto" w:fill="FFFFFF"/>
          <w:lang w:val="en-AU"/>
        </w:rPr>
        <w:t>s</w:t>
      </w:r>
      <w:r w:rsidR="00CF1E62">
        <w:rPr>
          <w:rFonts w:ascii="Georgia" w:eastAsiaTheme="minorHAnsi" w:hAnsi="Georgia" w:cstheme="minorBidi"/>
          <w:sz w:val="24"/>
          <w:szCs w:val="16"/>
          <w:shd w:val="clear" w:color="auto" w:fill="FFFFFF"/>
          <w:lang w:val="en-AU"/>
        </w:rPr>
        <w:t>ays Mr Pinches.</w:t>
      </w:r>
    </w:p>
    <w:p w:rsidR="00182558" w:rsidRDefault="00182558" w:rsidP="00C92525">
      <w:pPr>
        <w:autoSpaceDE w:val="0"/>
        <w:autoSpaceDN w:val="0"/>
        <w:adjustRightInd w:val="0"/>
        <w:jc w:val="center"/>
        <w:rPr>
          <w:rFonts w:ascii="Georgia" w:eastAsia="Calibri" w:hAnsi="Georgia"/>
          <w:bCs/>
          <w:sz w:val="24"/>
          <w:szCs w:val="24"/>
          <w:lang w:val="en-US"/>
        </w:rPr>
      </w:pPr>
    </w:p>
    <w:p w:rsidR="00C92525" w:rsidRPr="00C92525" w:rsidRDefault="00C92525" w:rsidP="00C92525">
      <w:pPr>
        <w:autoSpaceDE w:val="0"/>
        <w:autoSpaceDN w:val="0"/>
        <w:adjustRightInd w:val="0"/>
        <w:jc w:val="center"/>
        <w:rPr>
          <w:rFonts w:ascii="Georgia" w:eastAsia="Calibri" w:hAnsi="Georgia"/>
          <w:b/>
          <w:bCs/>
          <w:sz w:val="20"/>
          <w:szCs w:val="24"/>
          <w:lang w:val="en-US"/>
        </w:rPr>
      </w:pPr>
      <w:r w:rsidRPr="00C92525">
        <w:rPr>
          <w:rFonts w:ascii="Georgia" w:eastAsia="Calibri" w:hAnsi="Georgia"/>
          <w:b/>
          <w:bCs/>
          <w:sz w:val="20"/>
          <w:szCs w:val="24"/>
          <w:lang w:val="en-US"/>
        </w:rPr>
        <w:t>Ends</w:t>
      </w:r>
    </w:p>
    <w:p w:rsidR="00C92525" w:rsidRPr="00C92525" w:rsidRDefault="00C92525" w:rsidP="00C92525">
      <w:pPr>
        <w:autoSpaceDE w:val="0"/>
        <w:autoSpaceDN w:val="0"/>
        <w:adjustRightInd w:val="0"/>
        <w:jc w:val="center"/>
        <w:rPr>
          <w:rFonts w:ascii="Georgia" w:eastAsia="Calibri" w:hAnsi="Georgia"/>
          <w:b/>
          <w:bCs/>
          <w:sz w:val="20"/>
          <w:szCs w:val="24"/>
          <w:lang w:val="en-US"/>
        </w:rPr>
      </w:pPr>
    </w:p>
    <w:p w:rsidR="00C92525" w:rsidRPr="00C92525" w:rsidRDefault="00C92525" w:rsidP="00C92525">
      <w:pPr>
        <w:spacing w:after="240"/>
        <w:jc w:val="both"/>
        <w:rPr>
          <w:rFonts w:ascii="Georgia" w:hAnsi="Georgia"/>
          <w:i/>
        </w:rPr>
      </w:pPr>
      <w:r w:rsidRPr="00C92525">
        <w:rPr>
          <w:rFonts w:ascii="Georgia" w:eastAsia="Calibri" w:hAnsi="Georgia"/>
          <w:b/>
          <w:bCs/>
          <w:szCs w:val="22"/>
          <w:lang w:val="en-US"/>
        </w:rPr>
        <w:t>About Heffron</w:t>
      </w:r>
      <w:r w:rsidR="00AD7C98">
        <w:rPr>
          <w:rFonts w:ascii="Georgia" w:eastAsia="Calibri" w:hAnsi="Georgia"/>
          <w:b/>
          <w:bCs/>
          <w:szCs w:val="22"/>
          <w:lang w:val="en-US"/>
        </w:rPr>
        <w:t xml:space="preserve"> SMSF Solutions</w:t>
      </w:r>
      <w:r w:rsidRPr="00C92525">
        <w:rPr>
          <w:rFonts w:ascii="Georgia" w:eastAsia="Calibri" w:hAnsi="Georgia"/>
          <w:b/>
          <w:bCs/>
          <w:szCs w:val="22"/>
          <w:lang w:val="en-US"/>
        </w:rPr>
        <w:t xml:space="preserve">. </w:t>
      </w:r>
      <w:r w:rsidRPr="00C92525">
        <w:rPr>
          <w:rFonts w:ascii="Georgia" w:hAnsi="Georgia"/>
          <w:i/>
        </w:rPr>
        <w:t>Heffron</w:t>
      </w:r>
      <w:r w:rsidR="00AD7C98">
        <w:rPr>
          <w:rFonts w:ascii="Georgia" w:hAnsi="Georgia"/>
          <w:i/>
        </w:rPr>
        <w:t xml:space="preserve"> SMSF Solutions</w:t>
      </w:r>
      <w:r w:rsidRPr="00C92525">
        <w:rPr>
          <w:rFonts w:ascii="Georgia" w:hAnsi="Georgia"/>
          <w:i/>
        </w:rPr>
        <w:t xml:space="preserve"> is one of Australia’s largest independent SMSF service providers</w:t>
      </w:r>
      <w:r w:rsidR="00EC63F8">
        <w:rPr>
          <w:rFonts w:ascii="Georgia" w:hAnsi="Georgia"/>
          <w:i/>
        </w:rPr>
        <w:t xml:space="preserve"> </w:t>
      </w:r>
      <w:r w:rsidR="00EC63F8" w:rsidRPr="00EC63F8">
        <w:rPr>
          <w:rFonts w:ascii="Georgia" w:eastAsia="Calibri" w:hAnsi="Georgia"/>
          <w:bCs/>
          <w:i/>
          <w:lang w:val="en-US"/>
        </w:rPr>
        <w:t>currently administers in excess of 1,700 funds</w:t>
      </w:r>
      <w:r w:rsidRPr="00C92525">
        <w:rPr>
          <w:rFonts w:ascii="Georgia" w:hAnsi="Georgia"/>
          <w:i/>
        </w:rPr>
        <w:t xml:space="preserve">. Heffron has </w:t>
      </w:r>
      <w:r w:rsidRPr="00C92525">
        <w:rPr>
          <w:rFonts w:ascii="Georgia" w:hAnsi="Georgia"/>
          <w:i/>
          <w:color w:val="000000"/>
        </w:rPr>
        <w:t>been actively assisting SMSF trustees and their advisers for over 15 years, typically around high level technical strategic advice/education and often wrapped up with an administration and/or documentation solution.</w:t>
      </w:r>
      <w:r w:rsidRPr="00C92525">
        <w:rPr>
          <w:rFonts w:ascii="Georgia" w:hAnsi="Georgia"/>
          <w:i/>
        </w:rPr>
        <w:t xml:space="preserve">  </w:t>
      </w:r>
    </w:p>
    <w:p w:rsidR="00C92525" w:rsidRPr="00C92525" w:rsidRDefault="00C92525" w:rsidP="00C92525">
      <w:pPr>
        <w:autoSpaceDE w:val="0"/>
        <w:autoSpaceDN w:val="0"/>
        <w:adjustRightInd w:val="0"/>
        <w:jc w:val="center"/>
        <w:rPr>
          <w:rFonts w:ascii="Georgia" w:eastAsia="Calibri" w:hAnsi="Georgia"/>
          <w:b/>
          <w:bCs/>
          <w:sz w:val="20"/>
          <w:szCs w:val="24"/>
          <w:lang w:val="en-US"/>
        </w:rPr>
      </w:pPr>
    </w:p>
    <w:p w:rsidR="00C92525" w:rsidRPr="00C92525" w:rsidRDefault="0049036F" w:rsidP="00C92525">
      <w:pPr>
        <w:autoSpaceDE w:val="0"/>
        <w:autoSpaceDN w:val="0"/>
        <w:adjustRightInd w:val="0"/>
        <w:rPr>
          <w:rFonts w:ascii="Georgia" w:eastAsia="Calibri" w:hAnsi="Georgia"/>
          <w:b/>
          <w:bCs/>
          <w:sz w:val="20"/>
          <w:szCs w:val="24"/>
          <w:lang w:val="en-US"/>
        </w:rPr>
      </w:pPr>
      <w:r>
        <w:rPr>
          <w:rFonts w:ascii="Georgia" w:eastAsia="Calibri" w:hAnsi="Georgia"/>
          <w:b/>
          <w:bCs/>
          <w:sz w:val="20"/>
          <w:szCs w:val="24"/>
          <w:lang w:val="en-US"/>
        </w:rPr>
        <w:t>For media enquiries</w:t>
      </w:r>
      <w:r w:rsidR="00C92525" w:rsidRPr="00C92525">
        <w:rPr>
          <w:rFonts w:ascii="Georgia" w:eastAsia="Calibri" w:hAnsi="Georgia"/>
          <w:b/>
          <w:bCs/>
          <w:sz w:val="20"/>
          <w:szCs w:val="24"/>
          <w:lang w:val="en-US"/>
        </w:rPr>
        <w:t>, please contact:</w:t>
      </w:r>
    </w:p>
    <w:p w:rsidR="00C92525" w:rsidRPr="00182558" w:rsidRDefault="00CF1E62" w:rsidP="00182558">
      <w:pPr>
        <w:autoSpaceDE w:val="0"/>
        <w:autoSpaceDN w:val="0"/>
        <w:adjustRightInd w:val="0"/>
        <w:rPr>
          <w:rFonts w:ascii="Georgia" w:eastAsia="Calibri" w:hAnsi="Georgia"/>
          <w:bCs/>
          <w:sz w:val="20"/>
          <w:szCs w:val="24"/>
          <w:lang w:val="en-US"/>
        </w:rPr>
      </w:pPr>
      <w:r>
        <w:rPr>
          <w:rFonts w:ascii="Georgia" w:eastAsia="Calibri" w:hAnsi="Georgia"/>
          <w:bCs/>
          <w:sz w:val="20"/>
          <w:szCs w:val="24"/>
          <w:lang w:val="en-US"/>
        </w:rPr>
        <w:t>Duane Pinches</w:t>
      </w:r>
    </w:p>
    <w:p w:rsidR="00C92525" w:rsidRPr="00182558" w:rsidRDefault="00CF1E62" w:rsidP="00182558">
      <w:pPr>
        <w:autoSpaceDE w:val="0"/>
        <w:autoSpaceDN w:val="0"/>
        <w:adjustRightInd w:val="0"/>
        <w:rPr>
          <w:rFonts w:ascii="Georgia" w:eastAsia="Calibri" w:hAnsi="Georgia"/>
          <w:bCs/>
          <w:sz w:val="20"/>
          <w:szCs w:val="24"/>
          <w:lang w:val="en-US"/>
        </w:rPr>
      </w:pPr>
      <w:r>
        <w:rPr>
          <w:rFonts w:ascii="Georgia" w:eastAsia="Calibri" w:hAnsi="Georgia"/>
          <w:bCs/>
          <w:sz w:val="20"/>
          <w:szCs w:val="24"/>
          <w:lang w:val="en-US"/>
        </w:rPr>
        <w:t>Head of SMSF Document Services</w:t>
      </w:r>
    </w:p>
    <w:p w:rsidR="00182558" w:rsidRPr="00182558" w:rsidRDefault="00182558" w:rsidP="00182558">
      <w:pPr>
        <w:spacing w:after="0"/>
        <w:rPr>
          <w:rFonts w:ascii="Times" w:eastAsiaTheme="minorHAnsi" w:hAnsi="Times" w:cstheme="minorBidi"/>
          <w:sz w:val="20"/>
          <w:szCs w:val="20"/>
          <w:lang w:val="en-AU"/>
        </w:rPr>
      </w:pPr>
      <w:r w:rsidRPr="00182558">
        <w:rPr>
          <w:rFonts w:ascii="Georgia" w:eastAsiaTheme="minorHAnsi" w:hAnsi="Georgia" w:cstheme="minorBidi"/>
          <w:sz w:val="20"/>
          <w:shd w:val="clear" w:color="auto" w:fill="FFFFFF"/>
          <w:lang w:val="en-AU"/>
        </w:rPr>
        <w:t>1300 172 247</w:t>
      </w:r>
      <w:r w:rsidR="00AD7C98">
        <w:rPr>
          <w:rFonts w:ascii="Georgia" w:eastAsiaTheme="minorHAnsi" w:hAnsi="Georgia" w:cstheme="minorBidi"/>
          <w:sz w:val="20"/>
          <w:shd w:val="clear" w:color="auto" w:fill="FFFFFF"/>
          <w:lang w:val="en-AU"/>
        </w:rPr>
        <w:t xml:space="preserve"> </w:t>
      </w:r>
    </w:p>
    <w:p w:rsidR="00C92525" w:rsidRPr="00182558" w:rsidRDefault="00C92525" w:rsidP="00182558">
      <w:pPr>
        <w:spacing w:after="0"/>
        <w:rPr>
          <w:rFonts w:ascii="Times" w:eastAsiaTheme="minorHAnsi" w:hAnsi="Times" w:cstheme="minorBidi"/>
          <w:sz w:val="20"/>
          <w:szCs w:val="20"/>
          <w:lang w:val="en-AU"/>
        </w:rPr>
      </w:pPr>
    </w:p>
    <w:p w:rsidR="00C92525" w:rsidRPr="00182558" w:rsidRDefault="004605C4" w:rsidP="00182558">
      <w:pPr>
        <w:autoSpaceDE w:val="0"/>
        <w:autoSpaceDN w:val="0"/>
        <w:adjustRightInd w:val="0"/>
        <w:rPr>
          <w:rFonts w:ascii="Georgia" w:eastAsia="Calibri" w:hAnsi="Georgia"/>
          <w:bCs/>
          <w:sz w:val="20"/>
          <w:szCs w:val="24"/>
          <w:lang w:val="en-US"/>
        </w:rPr>
      </w:pPr>
      <w:r>
        <w:rPr>
          <w:rFonts w:ascii="Georgia" w:eastAsia="Calibri" w:hAnsi="Georgia"/>
          <w:bCs/>
          <w:sz w:val="20"/>
          <w:szCs w:val="24"/>
          <w:lang w:val="en-US"/>
        </w:rPr>
        <w:t>d</w:t>
      </w:r>
      <w:r w:rsidR="00CF1E62">
        <w:rPr>
          <w:rFonts w:ascii="Georgia" w:eastAsia="Calibri" w:hAnsi="Georgia"/>
          <w:bCs/>
          <w:sz w:val="20"/>
          <w:szCs w:val="24"/>
          <w:lang w:val="en-US"/>
        </w:rPr>
        <w:t>uane.pinches</w:t>
      </w:r>
      <w:r w:rsidR="00182558" w:rsidRPr="00182558">
        <w:rPr>
          <w:rFonts w:ascii="Georgia" w:eastAsia="Calibri" w:hAnsi="Georgia"/>
          <w:bCs/>
          <w:sz w:val="20"/>
          <w:szCs w:val="24"/>
          <w:lang w:val="en-US"/>
        </w:rPr>
        <w:t>@heffron.com.au</w:t>
      </w:r>
    </w:p>
    <w:p w:rsidR="00C92525" w:rsidRPr="00D046FB" w:rsidRDefault="00C92525" w:rsidP="00C92525">
      <w:pPr>
        <w:autoSpaceDE w:val="0"/>
        <w:autoSpaceDN w:val="0"/>
        <w:adjustRightInd w:val="0"/>
        <w:rPr>
          <w:rFonts w:ascii="Century Gothic" w:eastAsia="Calibri" w:hAnsi="Century Gothic"/>
          <w:bCs/>
          <w:szCs w:val="24"/>
          <w:lang w:val="en-US"/>
        </w:rPr>
      </w:pPr>
    </w:p>
    <w:p w:rsidR="00C92525" w:rsidRDefault="00C92525" w:rsidP="00C92525"/>
    <w:p w:rsidR="002B2057" w:rsidRDefault="002B2057"/>
    <w:sectPr w:rsidR="002B2057" w:rsidSect="002B2057">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oNotTrackFormatting/>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525"/>
    <w:rsid w:val="00011096"/>
    <w:rsid w:val="00061CD1"/>
    <w:rsid w:val="000A6DF1"/>
    <w:rsid w:val="00182558"/>
    <w:rsid w:val="0024377C"/>
    <w:rsid w:val="002B2057"/>
    <w:rsid w:val="00326BF1"/>
    <w:rsid w:val="003B3AD2"/>
    <w:rsid w:val="004605C4"/>
    <w:rsid w:val="0049036F"/>
    <w:rsid w:val="005D23E8"/>
    <w:rsid w:val="006B0288"/>
    <w:rsid w:val="006D427B"/>
    <w:rsid w:val="006E32D9"/>
    <w:rsid w:val="00746779"/>
    <w:rsid w:val="00752AEC"/>
    <w:rsid w:val="007F6449"/>
    <w:rsid w:val="00A968D4"/>
    <w:rsid w:val="00AC7286"/>
    <w:rsid w:val="00AD7C98"/>
    <w:rsid w:val="00C82CF5"/>
    <w:rsid w:val="00C92525"/>
    <w:rsid w:val="00CF1E62"/>
    <w:rsid w:val="00D45819"/>
    <w:rsid w:val="00E0056C"/>
    <w:rsid w:val="00E55512"/>
    <w:rsid w:val="00E84732"/>
    <w:rsid w:val="00EC63F8"/>
    <w:rsid w:val="00F65773"/>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25"/>
    <w:pPr>
      <w:spacing w:after="120"/>
    </w:pPr>
    <w:rPr>
      <w:rFonts w:ascii="Arial" w:eastAsia="Times New Roman" w:hAnsi="Arial" w:cs="Arial"/>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92525"/>
    <w:pPr>
      <w:spacing w:beforeLines="1" w:afterLines="1"/>
    </w:pPr>
    <w:rPr>
      <w:rFonts w:ascii="Times" w:eastAsia="Cambria" w:hAnsi="Times" w:cs="Times New Roman"/>
      <w:sz w:val="20"/>
      <w:szCs w:val="20"/>
      <w:lang w:val="en-AU"/>
    </w:rPr>
  </w:style>
  <w:style w:type="paragraph" w:styleId="BalloonText">
    <w:name w:val="Balloon Text"/>
    <w:basedOn w:val="Normal"/>
    <w:link w:val="BalloonTextChar"/>
    <w:uiPriority w:val="99"/>
    <w:semiHidden/>
    <w:unhideWhenUsed/>
    <w:rsid w:val="00AD7C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C98"/>
    <w:rPr>
      <w:rFonts w:ascii="Tahoma" w:eastAsia="Times New Roman" w:hAnsi="Tahoma" w:cs="Tahoma"/>
      <w:sz w:val="16"/>
      <w:szCs w:val="16"/>
      <w:lang w:val="en-GB"/>
    </w:rPr>
  </w:style>
  <w:style w:type="table" w:styleId="TableGrid">
    <w:name w:val="Table Grid"/>
    <w:basedOn w:val="TableNormal"/>
    <w:uiPriority w:val="59"/>
    <w:rsid w:val="003B3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B0288"/>
    <w:rPr>
      <w:rFonts w:ascii="Arial" w:eastAsia="Times New Roman" w:hAnsi="Arial" w:cs="Arial"/>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525"/>
    <w:pPr>
      <w:spacing w:after="120"/>
    </w:pPr>
    <w:rPr>
      <w:rFonts w:ascii="Arial" w:eastAsia="Times New Roman" w:hAnsi="Arial" w:cs="Arial"/>
      <w:sz w:val="18"/>
      <w:szCs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92525"/>
    <w:pPr>
      <w:spacing w:beforeLines="1" w:afterLines="1"/>
    </w:pPr>
    <w:rPr>
      <w:rFonts w:ascii="Times" w:eastAsia="Cambria" w:hAnsi="Times" w:cs="Times New Roman"/>
      <w:sz w:val="20"/>
      <w:szCs w:val="20"/>
      <w:lang w:val="en-AU"/>
    </w:rPr>
  </w:style>
  <w:style w:type="paragraph" w:styleId="BalloonText">
    <w:name w:val="Balloon Text"/>
    <w:basedOn w:val="Normal"/>
    <w:link w:val="BalloonTextChar"/>
    <w:uiPriority w:val="99"/>
    <w:semiHidden/>
    <w:unhideWhenUsed/>
    <w:rsid w:val="00AD7C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C98"/>
    <w:rPr>
      <w:rFonts w:ascii="Tahoma" w:eastAsia="Times New Roman" w:hAnsi="Tahoma" w:cs="Tahoma"/>
      <w:sz w:val="16"/>
      <w:szCs w:val="16"/>
      <w:lang w:val="en-GB"/>
    </w:rPr>
  </w:style>
  <w:style w:type="table" w:styleId="TableGrid">
    <w:name w:val="Table Grid"/>
    <w:basedOn w:val="TableNormal"/>
    <w:uiPriority w:val="59"/>
    <w:rsid w:val="003B3A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B0288"/>
    <w:rPr>
      <w:rFonts w:ascii="Arial" w:eastAsia="Times New Roman" w:hAnsi="Arial" w:cs="Arial"/>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420480">
      <w:bodyDiv w:val="1"/>
      <w:marLeft w:val="0"/>
      <w:marRight w:val="0"/>
      <w:marTop w:val="0"/>
      <w:marBottom w:val="0"/>
      <w:divBdr>
        <w:top w:val="none" w:sz="0" w:space="0" w:color="auto"/>
        <w:left w:val="none" w:sz="0" w:space="0" w:color="auto"/>
        <w:bottom w:val="none" w:sz="0" w:space="0" w:color="auto"/>
        <w:right w:val="none" w:sz="0" w:space="0" w:color="auto"/>
      </w:divBdr>
    </w:div>
    <w:div w:id="1628584076">
      <w:bodyDiv w:val="1"/>
      <w:marLeft w:val="0"/>
      <w:marRight w:val="0"/>
      <w:marTop w:val="0"/>
      <w:marBottom w:val="0"/>
      <w:divBdr>
        <w:top w:val="none" w:sz="0" w:space="0" w:color="auto"/>
        <w:left w:val="none" w:sz="0" w:space="0" w:color="auto"/>
        <w:bottom w:val="none" w:sz="0" w:space="0" w:color="auto"/>
        <w:right w:val="none" w:sz="0" w:space="0" w:color="auto"/>
      </w:divBdr>
    </w:div>
    <w:div w:id="19977611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2136</Characters>
  <Application>Microsoft Macintosh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inSynergy Financial Solutions</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Sheppard</dc:creator>
  <cp:lastModifiedBy>Glenn Freeman</cp:lastModifiedBy>
  <cp:revision>2</cp:revision>
  <dcterms:created xsi:type="dcterms:W3CDTF">2014-05-07T06:22:00Z</dcterms:created>
  <dcterms:modified xsi:type="dcterms:W3CDTF">2014-05-07T06:22:00Z</dcterms:modified>
</cp:coreProperties>
</file>